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40451" w14:textId="47C8AE03" w:rsidR="00C55F6F" w:rsidRPr="00CC7721" w:rsidRDefault="00C55F6F">
      <w:pPr>
        <w:rPr>
          <w:rFonts w:ascii="Open Sans" w:hAnsi="Open Sans" w:cs="Open Sans"/>
        </w:rPr>
      </w:pPr>
      <w:r w:rsidRPr="00CC7721">
        <w:rPr>
          <w:rFonts w:ascii="Open Sans" w:hAnsi="Open Sans" w:cs="Open Sans"/>
        </w:rPr>
        <w:t>Prior to the observation</w:t>
      </w:r>
      <w:r w:rsidR="00B56316" w:rsidRPr="00CC7721">
        <w:rPr>
          <w:rFonts w:ascii="Open Sans" w:hAnsi="Open Sans" w:cs="Open Sans"/>
        </w:rPr>
        <w:t>,</w:t>
      </w:r>
      <w:r w:rsidRPr="00CC7721">
        <w:rPr>
          <w:rFonts w:ascii="Open Sans" w:hAnsi="Open Sans" w:cs="Open Sans"/>
        </w:rPr>
        <w:t xml:space="preserve"> you will meet with your</w:t>
      </w:r>
      <w:r w:rsidR="00063B5C" w:rsidRPr="00CC7721">
        <w:rPr>
          <w:rFonts w:ascii="Open Sans" w:hAnsi="Open Sans" w:cs="Open Sans"/>
        </w:rPr>
        <w:t xml:space="preserve"> peer observer</w:t>
      </w:r>
      <w:r w:rsidR="00707657" w:rsidRPr="00CC7721">
        <w:rPr>
          <w:rFonts w:ascii="Open Sans" w:hAnsi="Open Sans" w:cs="Open Sans"/>
        </w:rPr>
        <w:t>.</w:t>
      </w:r>
      <w:r w:rsidRPr="00CC7721">
        <w:rPr>
          <w:rFonts w:ascii="Open Sans" w:hAnsi="Open Sans" w:cs="Open Sans"/>
        </w:rPr>
        <w:t xml:space="preserve"> During this meeting</w:t>
      </w:r>
      <w:r w:rsidR="00B56316" w:rsidRPr="00CC7721">
        <w:rPr>
          <w:rFonts w:ascii="Open Sans" w:hAnsi="Open Sans" w:cs="Open Sans"/>
        </w:rPr>
        <w:t>,</w:t>
      </w:r>
      <w:r w:rsidRPr="00CC7721">
        <w:rPr>
          <w:rFonts w:ascii="Open Sans" w:hAnsi="Open Sans" w:cs="Open Sans"/>
        </w:rPr>
        <w:t xml:space="preserve"> your </w:t>
      </w:r>
      <w:r w:rsidR="00063B5C" w:rsidRPr="00CC7721">
        <w:rPr>
          <w:rFonts w:ascii="Open Sans" w:hAnsi="Open Sans" w:cs="Open Sans"/>
        </w:rPr>
        <w:t>peer observer</w:t>
      </w:r>
      <w:r w:rsidRPr="00CC7721">
        <w:rPr>
          <w:rFonts w:ascii="Open Sans" w:hAnsi="Open Sans" w:cs="Open Sans"/>
        </w:rPr>
        <w:t xml:space="preserve"> will ask you to identify </w:t>
      </w:r>
      <w:r w:rsidR="00063B5C" w:rsidRPr="00CC7721">
        <w:rPr>
          <w:rFonts w:ascii="Open Sans" w:hAnsi="Open Sans" w:cs="Open Sans"/>
        </w:rPr>
        <w:t>three-four</w:t>
      </w:r>
      <w:r w:rsidRPr="00CC7721">
        <w:rPr>
          <w:rFonts w:ascii="Open Sans" w:hAnsi="Open Sans" w:cs="Open Sans"/>
        </w:rPr>
        <w:t xml:space="preserve"> focal areas for the observation. Think</w:t>
      </w:r>
      <w:r w:rsidR="00FC05A1" w:rsidRPr="00CC7721">
        <w:rPr>
          <w:rFonts w:ascii="Open Sans" w:hAnsi="Open Sans" w:cs="Open Sans"/>
        </w:rPr>
        <w:t xml:space="preserve"> about the instructional components around</w:t>
      </w:r>
      <w:r w:rsidRPr="00CC7721">
        <w:rPr>
          <w:rFonts w:ascii="Open Sans" w:hAnsi="Open Sans" w:cs="Open Sans"/>
        </w:rPr>
        <w:t xml:space="preserve"> which you ha</w:t>
      </w:r>
      <w:r w:rsidR="00E233BD" w:rsidRPr="00CC7721">
        <w:rPr>
          <w:rFonts w:ascii="Open Sans" w:hAnsi="Open Sans" w:cs="Open Sans"/>
        </w:rPr>
        <w:t xml:space="preserve">ve questions or </w:t>
      </w:r>
      <w:r w:rsidR="00063B5C" w:rsidRPr="00CC7721">
        <w:rPr>
          <w:rFonts w:ascii="Open Sans" w:hAnsi="Open Sans" w:cs="Open Sans"/>
        </w:rPr>
        <w:t>would like to make a change</w:t>
      </w:r>
      <w:r w:rsidR="00E233BD" w:rsidRPr="00CC7721">
        <w:rPr>
          <w:rFonts w:ascii="Open Sans" w:hAnsi="Open Sans" w:cs="Open Sans"/>
        </w:rPr>
        <w:t xml:space="preserve">. </w:t>
      </w:r>
      <w:r w:rsidR="00873F7B" w:rsidRPr="00CC7721">
        <w:rPr>
          <w:rFonts w:ascii="Open Sans" w:hAnsi="Open Sans" w:cs="Open Sans"/>
        </w:rPr>
        <w:t>After the observation, you and your</w:t>
      </w:r>
      <w:r w:rsidR="00063B5C" w:rsidRPr="00CC7721">
        <w:rPr>
          <w:rFonts w:ascii="Open Sans" w:hAnsi="Open Sans" w:cs="Open Sans"/>
        </w:rPr>
        <w:t xml:space="preserve"> peer observer</w:t>
      </w:r>
      <w:r w:rsidR="00873F7B" w:rsidRPr="00CC7721">
        <w:rPr>
          <w:rFonts w:ascii="Open Sans" w:hAnsi="Open Sans" w:cs="Open Sans"/>
        </w:rPr>
        <w:t xml:space="preserve"> will meet again to debrief around the evidence </w:t>
      </w:r>
      <w:r w:rsidR="00AD13C9">
        <w:rPr>
          <w:rFonts w:ascii="Open Sans" w:hAnsi="Open Sans" w:cs="Open Sans"/>
        </w:rPr>
        <w:t>he/she</w:t>
      </w:r>
      <w:r w:rsidR="00063B5C" w:rsidRPr="00CC7721">
        <w:rPr>
          <w:rFonts w:ascii="Open Sans" w:hAnsi="Open Sans" w:cs="Open Sans"/>
        </w:rPr>
        <w:t xml:space="preserve"> collected.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  <w:tblCaption w:val="ELPS Focal Areas, Ratings and Evidence"/>
      </w:tblPr>
      <w:tblGrid>
        <w:gridCol w:w="4135"/>
        <w:gridCol w:w="1397"/>
        <w:gridCol w:w="1397"/>
        <w:gridCol w:w="1395"/>
        <w:gridCol w:w="1397"/>
        <w:gridCol w:w="5034"/>
      </w:tblGrid>
      <w:tr w:rsidR="00F03412" w:rsidRPr="00CC7721" w14:paraId="04A1A0CB" w14:textId="77777777" w:rsidTr="00570832">
        <w:trPr>
          <w:trHeight w:val="1397"/>
          <w:tblHeader/>
        </w:trPr>
        <w:tc>
          <w:tcPr>
            <w:tcW w:w="4135" w:type="dxa"/>
            <w:shd w:val="clear" w:color="auto" w:fill="E7E6E6" w:themeFill="background2"/>
          </w:tcPr>
          <w:p w14:paraId="6C566F9D" w14:textId="77777777" w:rsidR="006E651F" w:rsidRPr="00CC7721" w:rsidRDefault="006E651F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>Focal Areas</w:t>
            </w:r>
          </w:p>
        </w:tc>
        <w:tc>
          <w:tcPr>
            <w:tcW w:w="1397" w:type="dxa"/>
            <w:shd w:val="clear" w:color="auto" w:fill="E7E6E6" w:themeFill="background2"/>
          </w:tcPr>
          <w:p w14:paraId="4B04D238" w14:textId="77777777" w:rsidR="006E651F" w:rsidRPr="00CC7721" w:rsidRDefault="00425BD9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>Clearly evident</w:t>
            </w:r>
          </w:p>
        </w:tc>
        <w:tc>
          <w:tcPr>
            <w:tcW w:w="1397" w:type="dxa"/>
            <w:shd w:val="clear" w:color="auto" w:fill="E7E6E6" w:themeFill="background2"/>
          </w:tcPr>
          <w:p w14:paraId="130195AC" w14:textId="77777777" w:rsidR="006E651F" w:rsidRPr="00CC7721" w:rsidRDefault="00425BD9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>Mostly evident</w:t>
            </w:r>
          </w:p>
        </w:tc>
        <w:tc>
          <w:tcPr>
            <w:tcW w:w="1395" w:type="dxa"/>
            <w:shd w:val="clear" w:color="auto" w:fill="E7E6E6" w:themeFill="background2"/>
          </w:tcPr>
          <w:p w14:paraId="3ED7AD78" w14:textId="77777777" w:rsidR="006E651F" w:rsidRPr="00CC7721" w:rsidRDefault="00425BD9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>Somewhat Evident</w:t>
            </w:r>
          </w:p>
        </w:tc>
        <w:tc>
          <w:tcPr>
            <w:tcW w:w="1397" w:type="dxa"/>
            <w:shd w:val="clear" w:color="auto" w:fill="E7E6E6" w:themeFill="background2"/>
          </w:tcPr>
          <w:p w14:paraId="7326A118" w14:textId="77777777" w:rsidR="006E651F" w:rsidRPr="00CC7721" w:rsidRDefault="00425BD9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>Not Evident</w:t>
            </w:r>
          </w:p>
        </w:tc>
        <w:tc>
          <w:tcPr>
            <w:tcW w:w="5034" w:type="dxa"/>
            <w:shd w:val="clear" w:color="auto" w:fill="E7E6E6" w:themeFill="background2"/>
          </w:tcPr>
          <w:p w14:paraId="2BFF0105" w14:textId="77777777" w:rsidR="006E651F" w:rsidRPr="00CC7721" w:rsidRDefault="006E651F" w:rsidP="006E651F">
            <w:pPr>
              <w:rPr>
                <w:rFonts w:ascii="Open Sans" w:hAnsi="Open Sans" w:cs="Open Sans"/>
                <w:b/>
              </w:rPr>
            </w:pPr>
            <w:r w:rsidRPr="00CC7721">
              <w:rPr>
                <w:rFonts w:ascii="Open Sans" w:hAnsi="Open Sans" w:cs="Open Sans"/>
                <w:b/>
              </w:rPr>
              <w:t xml:space="preserve">Evidence </w:t>
            </w:r>
          </w:p>
          <w:p w14:paraId="70D6D47C" w14:textId="77777777" w:rsidR="00892675" w:rsidRPr="00C23A06" w:rsidRDefault="00892675" w:rsidP="00C23A0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</w:rPr>
            </w:pPr>
            <w:r w:rsidRPr="00C23A06">
              <w:rPr>
                <w:rFonts w:ascii="Open Sans" w:hAnsi="Open Sans" w:cs="Open Sans"/>
                <w:sz w:val="20"/>
              </w:rPr>
              <w:t>What activities are offered?</w:t>
            </w:r>
          </w:p>
          <w:p w14:paraId="0050CE67" w14:textId="1292E658" w:rsidR="00C23A06" w:rsidRPr="00C23A06" w:rsidRDefault="006E651F" w:rsidP="00C23A0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b/>
              </w:rPr>
            </w:pPr>
            <w:r w:rsidRPr="00C23A06">
              <w:rPr>
                <w:rFonts w:ascii="Open Sans" w:hAnsi="Open Sans" w:cs="Open Sans"/>
                <w:sz w:val="20"/>
              </w:rPr>
              <w:t xml:space="preserve">What does the </w:t>
            </w:r>
            <w:r w:rsidR="00864C8C">
              <w:rPr>
                <w:rFonts w:ascii="Open Sans" w:hAnsi="Open Sans" w:cs="Open Sans"/>
                <w:sz w:val="20"/>
              </w:rPr>
              <w:t>instructor</w:t>
            </w:r>
            <w:r w:rsidRPr="00C23A06">
              <w:rPr>
                <w:rFonts w:ascii="Open Sans" w:hAnsi="Open Sans" w:cs="Open Sans"/>
                <w:sz w:val="20"/>
              </w:rPr>
              <w:t>/</w:t>
            </w:r>
            <w:r w:rsidR="009707B7">
              <w:rPr>
                <w:rFonts w:ascii="Open Sans" w:hAnsi="Open Sans" w:cs="Open Sans"/>
                <w:sz w:val="20"/>
              </w:rPr>
              <w:t>learner</w:t>
            </w:r>
            <w:r w:rsidRPr="00C23A06">
              <w:rPr>
                <w:rFonts w:ascii="Open Sans" w:hAnsi="Open Sans" w:cs="Open Sans"/>
                <w:sz w:val="20"/>
              </w:rPr>
              <w:t xml:space="preserve"> say? </w:t>
            </w:r>
          </w:p>
          <w:p w14:paraId="4C932937" w14:textId="6DCF1A6C" w:rsidR="00C23A06" w:rsidRPr="00C23A06" w:rsidRDefault="006E651F" w:rsidP="00C23A0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b/>
              </w:rPr>
            </w:pPr>
            <w:r w:rsidRPr="00C23A06">
              <w:rPr>
                <w:rFonts w:ascii="Open Sans" w:hAnsi="Open Sans" w:cs="Open Sans"/>
                <w:sz w:val="20"/>
              </w:rPr>
              <w:t xml:space="preserve">What does the </w:t>
            </w:r>
            <w:r w:rsidR="00864C8C">
              <w:rPr>
                <w:rFonts w:ascii="Open Sans" w:hAnsi="Open Sans" w:cs="Open Sans"/>
                <w:sz w:val="20"/>
              </w:rPr>
              <w:t>instructor</w:t>
            </w:r>
            <w:r w:rsidRPr="00C23A06">
              <w:rPr>
                <w:rFonts w:ascii="Open Sans" w:hAnsi="Open Sans" w:cs="Open Sans"/>
                <w:sz w:val="20"/>
              </w:rPr>
              <w:t>/</w:t>
            </w:r>
            <w:r w:rsidR="00B56FB9" w:rsidRPr="00C23A06">
              <w:rPr>
                <w:rFonts w:ascii="Open Sans" w:hAnsi="Open Sans" w:cs="Open Sans"/>
                <w:sz w:val="20"/>
              </w:rPr>
              <w:t>learner</w:t>
            </w:r>
            <w:r w:rsidRPr="00C23A06">
              <w:rPr>
                <w:rFonts w:ascii="Open Sans" w:hAnsi="Open Sans" w:cs="Open Sans"/>
                <w:sz w:val="20"/>
              </w:rPr>
              <w:t xml:space="preserve"> </w:t>
            </w:r>
            <w:r w:rsidR="007B2311" w:rsidRPr="00C23A06">
              <w:rPr>
                <w:rFonts w:ascii="Open Sans" w:hAnsi="Open Sans" w:cs="Open Sans"/>
                <w:sz w:val="20"/>
              </w:rPr>
              <w:t>do?</w:t>
            </w:r>
          </w:p>
          <w:p w14:paraId="7CA297AC" w14:textId="493228E4" w:rsidR="006E651F" w:rsidRPr="00C23A06" w:rsidRDefault="006E651F" w:rsidP="001828E5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b/>
              </w:rPr>
            </w:pPr>
            <w:r w:rsidRPr="00C23A06">
              <w:rPr>
                <w:rFonts w:ascii="Open Sans" w:hAnsi="Open Sans" w:cs="Open Sans"/>
                <w:sz w:val="20"/>
              </w:rPr>
              <w:t xml:space="preserve">What does the </w:t>
            </w:r>
            <w:r w:rsidR="00864C8C">
              <w:rPr>
                <w:rFonts w:ascii="Open Sans" w:hAnsi="Open Sans" w:cs="Open Sans"/>
                <w:sz w:val="20"/>
              </w:rPr>
              <w:t>instructor</w:t>
            </w:r>
            <w:r w:rsidRPr="00C23A06">
              <w:rPr>
                <w:rFonts w:ascii="Open Sans" w:hAnsi="Open Sans" w:cs="Open Sans"/>
                <w:sz w:val="20"/>
              </w:rPr>
              <w:t>/</w:t>
            </w:r>
            <w:r w:rsidR="00B56FB9" w:rsidRPr="00C23A06">
              <w:rPr>
                <w:rFonts w:ascii="Open Sans" w:hAnsi="Open Sans" w:cs="Open Sans"/>
                <w:sz w:val="20"/>
              </w:rPr>
              <w:t xml:space="preserve">learner </w:t>
            </w:r>
            <w:r w:rsidR="001828E5">
              <w:rPr>
                <w:rFonts w:ascii="Open Sans" w:hAnsi="Open Sans" w:cs="Open Sans"/>
                <w:sz w:val="20"/>
              </w:rPr>
              <w:t xml:space="preserve">read or write? </w:t>
            </w:r>
          </w:p>
        </w:tc>
      </w:tr>
      <w:tr w:rsidR="00445CF0" w:rsidRPr="00CC7721" w14:paraId="3421593F" w14:textId="77777777" w:rsidTr="00570832">
        <w:tc>
          <w:tcPr>
            <w:tcW w:w="14755" w:type="dxa"/>
            <w:gridSpan w:val="6"/>
            <w:shd w:val="clear" w:color="auto" w:fill="602D91"/>
          </w:tcPr>
          <w:p w14:paraId="47A2303C" w14:textId="5653E880" w:rsidR="0049307E" w:rsidRPr="00CC7721" w:rsidRDefault="001367AB" w:rsidP="00C62AD4">
            <w:pPr>
              <w:rPr>
                <w:rFonts w:ascii="Open Sans" w:hAnsi="Open Sans" w:cs="Open Sans"/>
                <w:b/>
              </w:rPr>
            </w:pPr>
            <w:r w:rsidRPr="009707B7">
              <w:rPr>
                <w:rFonts w:ascii="Open Sans" w:hAnsi="Open Sans" w:cs="Open Sans"/>
                <w:b/>
                <w:color w:val="FFFFFF" w:themeColor="background1"/>
              </w:rPr>
              <w:t>Objectives and Formative Assessment</w:t>
            </w:r>
          </w:p>
        </w:tc>
      </w:tr>
      <w:tr w:rsidR="00445CF0" w:rsidRPr="00CC7721" w14:paraId="68ECCAFC" w14:textId="77777777" w:rsidTr="00570832">
        <w:tc>
          <w:tcPr>
            <w:tcW w:w="4135" w:type="dxa"/>
          </w:tcPr>
          <w:p w14:paraId="2C12DDDF" w14:textId="4E7CE521" w:rsidR="006D676F" w:rsidRDefault="001367AB" w:rsidP="003C7D44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The </w:t>
            </w:r>
            <w:r w:rsidR="00864C8C">
              <w:rPr>
                <w:rFonts w:ascii="Open Sans" w:hAnsi="Open Sans" w:cs="Open Sans"/>
              </w:rPr>
              <w:t>instructor</w:t>
            </w:r>
            <w:r w:rsidRPr="00DA0878">
              <w:rPr>
                <w:rFonts w:ascii="Open Sans" w:hAnsi="Open Sans" w:cs="Open Sans"/>
              </w:rPr>
              <w:t xml:space="preserve"> </w:t>
            </w:r>
            <w:r w:rsidR="003C7D44" w:rsidRPr="00DA0878">
              <w:rPr>
                <w:rFonts w:ascii="Open Sans" w:hAnsi="Open Sans" w:cs="Open Sans"/>
              </w:rPr>
              <w:t>communicate</w:t>
            </w:r>
            <w:r w:rsidR="003C7D44">
              <w:rPr>
                <w:rFonts w:ascii="Open Sans" w:hAnsi="Open Sans" w:cs="Open Sans"/>
              </w:rPr>
              <w:t>s</w:t>
            </w:r>
            <w:r w:rsidR="003C7D44" w:rsidRPr="00DA0878">
              <w:rPr>
                <w:rFonts w:ascii="Open Sans" w:hAnsi="Open Sans" w:cs="Open Sans"/>
              </w:rPr>
              <w:t xml:space="preserve"> </w:t>
            </w:r>
            <w:r w:rsidRPr="00DA0878">
              <w:rPr>
                <w:rFonts w:ascii="Open Sans" w:hAnsi="Open Sans" w:cs="Open Sans"/>
              </w:rPr>
              <w:t>the ELPS-aligned objective(s) to the learners in a way they could understand.</w:t>
            </w:r>
          </w:p>
          <w:p w14:paraId="11319970" w14:textId="060C973E" w:rsidR="00664753" w:rsidRPr="00DA0878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36D8137D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1A7065EC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6502DB76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39AA17B5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4D5C4C6D" w14:textId="5085DC13" w:rsidR="00B5748C" w:rsidRPr="00CC7721" w:rsidRDefault="00B5748C" w:rsidP="00445CF0">
            <w:pPr>
              <w:rPr>
                <w:rFonts w:ascii="Open Sans" w:hAnsi="Open Sans" w:cs="Open Sans"/>
                <w:b/>
              </w:rPr>
            </w:pPr>
          </w:p>
        </w:tc>
      </w:tr>
      <w:tr w:rsidR="00445CF0" w:rsidRPr="00CC7721" w14:paraId="7BA181CF" w14:textId="77777777" w:rsidTr="00570832">
        <w:tc>
          <w:tcPr>
            <w:tcW w:w="4135" w:type="dxa"/>
          </w:tcPr>
          <w:p w14:paraId="50A20110" w14:textId="77777777" w:rsidR="00445CF0" w:rsidRDefault="001367AB" w:rsidP="003C7D44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The instructor provides activities that allow learners to demonstrate competence in at least </w:t>
            </w:r>
            <w:r w:rsidR="003C7D44">
              <w:rPr>
                <w:rFonts w:ascii="Open Sans" w:hAnsi="Open Sans" w:cs="Open Sans"/>
              </w:rPr>
              <w:t>one</w:t>
            </w:r>
            <w:r w:rsidR="003C7D44" w:rsidRPr="00DA0878">
              <w:rPr>
                <w:rFonts w:ascii="Open Sans" w:hAnsi="Open Sans" w:cs="Open Sans"/>
              </w:rPr>
              <w:t xml:space="preserve"> </w:t>
            </w:r>
            <w:r w:rsidRPr="00DA0878">
              <w:rPr>
                <w:rFonts w:ascii="Open Sans" w:hAnsi="Open Sans" w:cs="Open Sans"/>
              </w:rPr>
              <w:t xml:space="preserve">of the actions stated in the targeted ELPS level descriptor with little to no support. (There are opportunities for formative assessment.) </w:t>
            </w:r>
          </w:p>
          <w:p w14:paraId="6CDB7C77" w14:textId="55A907ED" w:rsidR="00664753" w:rsidRPr="002F57B3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3B42D392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DBB6913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69BAB9FE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3B7E390A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745F0075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</w:tr>
      <w:tr w:rsidR="00445CF0" w:rsidRPr="00CC7721" w14:paraId="390F90D7" w14:textId="77777777" w:rsidTr="00570832">
        <w:tc>
          <w:tcPr>
            <w:tcW w:w="4135" w:type="dxa"/>
          </w:tcPr>
          <w:p w14:paraId="2D42004F" w14:textId="77777777" w:rsidR="00C62AD4" w:rsidRDefault="001367AB" w:rsidP="006E1C91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The instructor provides meaningful feedback to the learners related to the lesson objectives.</w:t>
            </w:r>
          </w:p>
          <w:p w14:paraId="105655FF" w14:textId="5DAF6852" w:rsidR="00664753" w:rsidRPr="00DA0878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5B2DC651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61DF17D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45C5F6A4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693CE30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7F59F4C1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</w:tr>
      <w:tr w:rsidR="00445CF0" w:rsidRPr="00CC7721" w14:paraId="1CB1EBB1" w14:textId="77777777" w:rsidTr="00570832">
        <w:tc>
          <w:tcPr>
            <w:tcW w:w="4135" w:type="dxa"/>
          </w:tcPr>
          <w:p w14:paraId="65FA4E72" w14:textId="7463E21E" w:rsidR="004C78AF" w:rsidRPr="002F57B3" w:rsidRDefault="001367AB" w:rsidP="003C7D44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The instructor provides opportunities for learners to engage in </w:t>
            </w:r>
            <w:r w:rsidR="003C7D44" w:rsidRPr="00DA0878">
              <w:rPr>
                <w:rFonts w:ascii="Open Sans" w:hAnsi="Open Sans" w:cs="Open Sans"/>
              </w:rPr>
              <w:t>self</w:t>
            </w:r>
            <w:r w:rsidR="003C7D44">
              <w:rPr>
                <w:rFonts w:ascii="Open Sans" w:hAnsi="Open Sans" w:cs="Open Sans"/>
              </w:rPr>
              <w:t>-</w:t>
            </w:r>
            <w:r w:rsidRPr="00DA0878">
              <w:rPr>
                <w:rFonts w:ascii="Open Sans" w:hAnsi="Open Sans" w:cs="Open Sans"/>
              </w:rPr>
              <w:t>and/or peer-</w:t>
            </w:r>
            <w:r w:rsidR="002F57B3">
              <w:rPr>
                <w:rFonts w:ascii="Open Sans" w:hAnsi="Open Sans" w:cs="Open Sans"/>
              </w:rPr>
              <w:t>reflection around the lesson objectives.</w:t>
            </w:r>
            <w:bookmarkStart w:id="0" w:name="_GoBack"/>
            <w:bookmarkEnd w:id="0"/>
          </w:p>
        </w:tc>
        <w:tc>
          <w:tcPr>
            <w:tcW w:w="1397" w:type="dxa"/>
          </w:tcPr>
          <w:p w14:paraId="4EA05A62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8B83BD0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4EDB8F13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80CB720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7ADA1DB0" w14:textId="77777777" w:rsidR="00445CF0" w:rsidRPr="00CC7721" w:rsidRDefault="00445CF0" w:rsidP="00445CF0">
            <w:pPr>
              <w:rPr>
                <w:rFonts w:ascii="Open Sans" w:hAnsi="Open Sans" w:cs="Open Sans"/>
                <w:b/>
              </w:rPr>
            </w:pPr>
          </w:p>
        </w:tc>
      </w:tr>
      <w:tr w:rsidR="00C62AD4" w:rsidRPr="00CC7721" w14:paraId="3325C57F" w14:textId="77777777" w:rsidTr="00570832">
        <w:tc>
          <w:tcPr>
            <w:tcW w:w="14755" w:type="dxa"/>
            <w:gridSpan w:val="6"/>
            <w:shd w:val="clear" w:color="auto" w:fill="602D91"/>
          </w:tcPr>
          <w:p w14:paraId="056C9F3E" w14:textId="7992BE87" w:rsidR="00C62AD4" w:rsidRPr="00CC7721" w:rsidRDefault="001367AB" w:rsidP="006B574B">
            <w:pPr>
              <w:rPr>
                <w:rFonts w:ascii="Open Sans" w:hAnsi="Open Sans" w:cs="Open Sans"/>
                <w:b/>
              </w:rPr>
            </w:pPr>
            <w:r w:rsidRPr="009707B7">
              <w:rPr>
                <w:rFonts w:ascii="Open Sans" w:hAnsi="Open Sans" w:cs="Open Sans"/>
                <w:b/>
                <w:color w:val="FFFFFF" w:themeColor="background1"/>
              </w:rPr>
              <w:lastRenderedPageBreak/>
              <w:t>Classroom Management</w:t>
            </w:r>
          </w:p>
        </w:tc>
      </w:tr>
      <w:tr w:rsidR="007F57BE" w:rsidRPr="00CC7721" w14:paraId="584F5A03" w14:textId="77777777" w:rsidTr="00570832">
        <w:tc>
          <w:tcPr>
            <w:tcW w:w="4135" w:type="dxa"/>
          </w:tcPr>
          <w:p w14:paraId="4F7A5A5C" w14:textId="77777777" w:rsidR="007F57BE" w:rsidRDefault="001367AB" w:rsidP="006E1C91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Learners primarily work collaboratively with other learners or alone to complete the majority of the lesson activities.</w:t>
            </w:r>
          </w:p>
          <w:p w14:paraId="11122343" w14:textId="2F3CEDC5" w:rsidR="00EF24A6" w:rsidRPr="002F57B3" w:rsidRDefault="00EF24A6" w:rsidP="00EF24A6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7FDF6F1E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39B6D16D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358D226F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26EBC04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6D2FA810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4C78AF" w:rsidRPr="00CC7721" w14:paraId="1D8CAE03" w14:textId="77777777" w:rsidTr="00570832">
        <w:trPr>
          <w:trHeight w:val="962"/>
        </w:trPr>
        <w:tc>
          <w:tcPr>
            <w:tcW w:w="4135" w:type="dxa"/>
          </w:tcPr>
          <w:p w14:paraId="439B6E10" w14:textId="77777777" w:rsidR="004C78AF" w:rsidRDefault="002F57B3" w:rsidP="006E1C91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i</w:t>
            </w:r>
            <w:r w:rsidR="004C78AF" w:rsidRPr="00DA0878">
              <w:rPr>
                <w:rFonts w:ascii="Open Sans" w:hAnsi="Open Sans" w:cs="Open Sans"/>
              </w:rPr>
              <w:t>nstructor is clear and concise during instruction</w:t>
            </w:r>
            <w:r w:rsidR="00DA0878">
              <w:rPr>
                <w:rFonts w:ascii="Open Sans" w:hAnsi="Open Sans" w:cs="Open Sans"/>
              </w:rPr>
              <w:t xml:space="preserve"> and while giving directions</w:t>
            </w:r>
            <w:r>
              <w:rPr>
                <w:rFonts w:ascii="Open Sans" w:hAnsi="Open Sans" w:cs="Open Sans"/>
              </w:rPr>
              <w:t>.</w:t>
            </w:r>
          </w:p>
          <w:p w14:paraId="7074C054" w14:textId="2FD2C34F" w:rsidR="00EF24A6" w:rsidRPr="00DA0878" w:rsidRDefault="00EF24A6" w:rsidP="00EF24A6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4A035BD0" w14:textId="77777777" w:rsidR="004C78AF" w:rsidRPr="00CC7721" w:rsidRDefault="004C78AF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DE619CB" w14:textId="77777777" w:rsidR="004C78AF" w:rsidRPr="00CC7721" w:rsidRDefault="004C78AF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7F787BC6" w14:textId="77777777" w:rsidR="004C78AF" w:rsidRPr="00CC7721" w:rsidRDefault="004C78AF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C316506" w14:textId="77777777" w:rsidR="004C78AF" w:rsidRPr="00CC7721" w:rsidRDefault="004C78AF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1DFD6808" w14:textId="77777777" w:rsidR="004C78AF" w:rsidRPr="00CC7721" w:rsidRDefault="004C78AF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7D162E" w:rsidRPr="00CC7721" w14:paraId="0522CE9D" w14:textId="77777777" w:rsidTr="00570832">
        <w:tc>
          <w:tcPr>
            <w:tcW w:w="4135" w:type="dxa"/>
          </w:tcPr>
          <w:p w14:paraId="65CF516C" w14:textId="772DF2B0" w:rsidR="007D162E" w:rsidRDefault="001367AB" w:rsidP="00D1515F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During group, pair, or individual work, the </w:t>
            </w:r>
            <w:r w:rsidR="00864C8C">
              <w:rPr>
                <w:rFonts w:ascii="Open Sans" w:hAnsi="Open Sans" w:cs="Open Sans"/>
              </w:rPr>
              <w:t>instructor</w:t>
            </w:r>
            <w:r w:rsidRPr="00DA0878">
              <w:rPr>
                <w:rFonts w:ascii="Open Sans" w:hAnsi="Open Sans" w:cs="Open Sans"/>
              </w:rPr>
              <w:t xml:space="preserve"> </w:t>
            </w:r>
            <w:r w:rsidR="005C5840" w:rsidRPr="00DA0878">
              <w:rPr>
                <w:rFonts w:ascii="Open Sans" w:hAnsi="Open Sans" w:cs="Open Sans"/>
              </w:rPr>
              <w:t>is</w:t>
            </w:r>
            <w:r w:rsidRPr="00DA0878">
              <w:rPr>
                <w:rFonts w:ascii="Open Sans" w:hAnsi="Open Sans" w:cs="Open Sans"/>
              </w:rPr>
              <w:t xml:space="preserve"> readi</w:t>
            </w:r>
            <w:r w:rsidR="009707B7">
              <w:rPr>
                <w:rFonts w:ascii="Open Sans" w:hAnsi="Open Sans" w:cs="Open Sans"/>
              </w:rPr>
              <w:t>ly available to support learners</w:t>
            </w:r>
            <w:r w:rsidR="00DA0878">
              <w:rPr>
                <w:rFonts w:ascii="Open Sans" w:hAnsi="Open Sans" w:cs="Open Sans"/>
              </w:rPr>
              <w:t xml:space="preserve"> without dominating their work</w:t>
            </w:r>
            <w:r w:rsidRPr="00DA0878">
              <w:rPr>
                <w:rFonts w:ascii="Open Sans" w:hAnsi="Open Sans" w:cs="Open Sans"/>
              </w:rPr>
              <w:t xml:space="preserve">.  </w:t>
            </w:r>
          </w:p>
          <w:p w14:paraId="6FC2E48D" w14:textId="0A010FFF" w:rsidR="00EF24A6" w:rsidRPr="00664753" w:rsidRDefault="00EF24A6" w:rsidP="00EF24A6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22C6F07B" w14:textId="77777777" w:rsidR="007D162E" w:rsidRPr="00CC7721" w:rsidRDefault="007D162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50470E1" w14:textId="77777777" w:rsidR="007D162E" w:rsidRPr="00CC7721" w:rsidRDefault="007D162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566B4B8B" w14:textId="77777777" w:rsidR="007D162E" w:rsidRPr="00CC7721" w:rsidRDefault="007D162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6D3DEB3C" w14:textId="77777777" w:rsidR="007D162E" w:rsidRPr="00CC7721" w:rsidRDefault="007D162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7B765188" w14:textId="77777777" w:rsidR="007D162E" w:rsidRPr="00CC7721" w:rsidRDefault="007D162E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367AB" w:rsidRPr="00CC7721" w14:paraId="758EC909" w14:textId="77777777" w:rsidTr="00570832">
        <w:tc>
          <w:tcPr>
            <w:tcW w:w="4135" w:type="dxa"/>
          </w:tcPr>
          <w:p w14:paraId="01C34453" w14:textId="2817C274" w:rsidR="001367AB" w:rsidRPr="00DA0878" w:rsidRDefault="001367AB" w:rsidP="006E1C91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The instructor gives clear and reasonable time frames for each activity, with sufficient opportunities for learner</w:t>
            </w:r>
            <w:r w:rsidR="00DA0878">
              <w:rPr>
                <w:rFonts w:ascii="Open Sans" w:hAnsi="Open Sans" w:cs="Open Sans"/>
              </w:rPr>
              <w:t>s</w:t>
            </w:r>
            <w:r w:rsidRPr="00DA0878">
              <w:rPr>
                <w:rFonts w:ascii="Open Sans" w:hAnsi="Open Sans" w:cs="Open Sans"/>
              </w:rPr>
              <w:t xml:space="preserve"> to practice using the target language/skills.</w:t>
            </w:r>
          </w:p>
          <w:p w14:paraId="6E6123CF" w14:textId="77777777" w:rsidR="001367AB" w:rsidRDefault="001367AB" w:rsidP="001367AB">
            <w:pPr>
              <w:rPr>
                <w:rFonts w:ascii="Open Sans" w:hAnsi="Open Sans" w:cs="Open Sans"/>
              </w:rPr>
            </w:pPr>
          </w:p>
          <w:p w14:paraId="0D955E7A" w14:textId="77777777" w:rsidR="00EF24A6" w:rsidRDefault="00EF24A6" w:rsidP="001367AB">
            <w:pPr>
              <w:rPr>
                <w:rFonts w:ascii="Open Sans" w:hAnsi="Open Sans" w:cs="Open Sans"/>
              </w:rPr>
            </w:pPr>
          </w:p>
          <w:p w14:paraId="6596DE2C" w14:textId="77777777" w:rsidR="00EF24A6" w:rsidRDefault="00EF24A6" w:rsidP="001367AB">
            <w:pPr>
              <w:rPr>
                <w:rFonts w:ascii="Open Sans" w:hAnsi="Open Sans" w:cs="Open Sans"/>
              </w:rPr>
            </w:pPr>
          </w:p>
          <w:p w14:paraId="364C3750" w14:textId="77777777" w:rsidR="00EF24A6" w:rsidRDefault="00EF24A6" w:rsidP="001367AB">
            <w:pPr>
              <w:rPr>
                <w:rFonts w:ascii="Open Sans" w:hAnsi="Open Sans" w:cs="Open Sans"/>
              </w:rPr>
            </w:pPr>
          </w:p>
          <w:p w14:paraId="3262C24E" w14:textId="77777777" w:rsidR="00EF24A6" w:rsidRDefault="00EF24A6" w:rsidP="001367AB">
            <w:pPr>
              <w:rPr>
                <w:rFonts w:ascii="Open Sans" w:hAnsi="Open Sans" w:cs="Open Sans"/>
              </w:rPr>
            </w:pPr>
          </w:p>
          <w:p w14:paraId="28932B87" w14:textId="5BE66FFA" w:rsidR="00EF24A6" w:rsidRPr="00CC7721" w:rsidRDefault="00EF24A6" w:rsidP="001367AB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30F99251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16EF0B5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4815544D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54FF43F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175A12C5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C62AD4" w:rsidRPr="00CC7721" w14:paraId="04A97E34" w14:textId="77777777" w:rsidTr="00570832">
        <w:tc>
          <w:tcPr>
            <w:tcW w:w="14755" w:type="dxa"/>
            <w:gridSpan w:val="6"/>
            <w:shd w:val="clear" w:color="auto" w:fill="602D91"/>
          </w:tcPr>
          <w:p w14:paraId="4267014B" w14:textId="680B2FFB" w:rsidR="00C62AD4" w:rsidRPr="00CC7721" w:rsidRDefault="001367AB" w:rsidP="006B574B">
            <w:pPr>
              <w:rPr>
                <w:rFonts w:ascii="Open Sans" w:hAnsi="Open Sans" w:cs="Open Sans"/>
                <w:b/>
              </w:rPr>
            </w:pPr>
            <w:r w:rsidRPr="009707B7">
              <w:rPr>
                <w:rFonts w:ascii="Open Sans" w:hAnsi="Open Sans" w:cs="Open Sans"/>
                <w:b/>
                <w:color w:val="FFFFFF" w:themeColor="background1"/>
              </w:rPr>
              <w:lastRenderedPageBreak/>
              <w:t>ELPS Alignment</w:t>
            </w:r>
          </w:p>
        </w:tc>
      </w:tr>
      <w:tr w:rsidR="00C62AD4" w:rsidRPr="00CC7721" w14:paraId="2CEDADD5" w14:textId="77777777" w:rsidTr="00570832">
        <w:tc>
          <w:tcPr>
            <w:tcW w:w="4135" w:type="dxa"/>
          </w:tcPr>
          <w:p w14:paraId="66E59266" w14:textId="77777777" w:rsidR="00C62AD4" w:rsidRDefault="001367AB" w:rsidP="003C7D44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The instructor included at least </w:t>
            </w:r>
            <w:r w:rsidR="003C7D44">
              <w:rPr>
                <w:rFonts w:ascii="Open Sans" w:hAnsi="Open Sans" w:cs="Open Sans"/>
              </w:rPr>
              <w:t xml:space="preserve">two </w:t>
            </w:r>
            <w:r w:rsidRPr="00DA0878">
              <w:rPr>
                <w:rFonts w:ascii="Open Sans" w:hAnsi="Open Sans" w:cs="Open Sans"/>
              </w:rPr>
              <w:t>lesson enhancement activities.</w:t>
            </w:r>
          </w:p>
          <w:p w14:paraId="755B5034" w14:textId="6604F2DA" w:rsidR="00664753" w:rsidRPr="00DA0878" w:rsidRDefault="00664753" w:rsidP="00664753">
            <w:pPr>
              <w:pStyle w:val="ListParagraph"/>
              <w:ind w:left="33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4B20C763" w14:textId="77777777" w:rsidR="00C62AD4" w:rsidRPr="00CC7721" w:rsidRDefault="00C62AD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38DFB67" w14:textId="77777777" w:rsidR="00C62AD4" w:rsidRPr="00CC7721" w:rsidRDefault="00C62AD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38F28179" w14:textId="77777777" w:rsidR="00C62AD4" w:rsidRPr="00CC7721" w:rsidRDefault="00C62AD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A5DDDBE" w14:textId="77777777" w:rsidR="00C62AD4" w:rsidRPr="00CC7721" w:rsidRDefault="00C62AD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0E109340" w14:textId="77777777" w:rsidR="00C62AD4" w:rsidRPr="00CC7721" w:rsidRDefault="00C62AD4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367AB" w:rsidRPr="00CC7721" w14:paraId="0178CA3C" w14:textId="77777777" w:rsidTr="00570832">
        <w:tc>
          <w:tcPr>
            <w:tcW w:w="4135" w:type="dxa"/>
          </w:tcPr>
          <w:p w14:paraId="59A9DB15" w14:textId="7EE7F5BC" w:rsidR="001367AB" w:rsidRPr="00664753" w:rsidRDefault="002F57B3" w:rsidP="00664753">
            <w:pPr>
              <w:pStyle w:val="ListParagraph"/>
              <w:numPr>
                <w:ilvl w:val="0"/>
                <w:numId w:val="12"/>
              </w:numPr>
              <w:ind w:left="420" w:hanging="420"/>
              <w:rPr>
                <w:rFonts w:ascii="Open Sans" w:hAnsi="Open Sans" w:cs="Open Sans"/>
              </w:rPr>
            </w:pPr>
            <w:r w:rsidRPr="00664753">
              <w:rPr>
                <w:rFonts w:ascii="Open Sans" w:hAnsi="Open Sans" w:cs="Open Sans"/>
              </w:rPr>
              <w:t xml:space="preserve">The instructor asks questions and/or provides activities that require </w:t>
            </w:r>
            <w:r w:rsidR="002A55BF" w:rsidRPr="00664753">
              <w:rPr>
                <w:rFonts w:ascii="Open Sans" w:hAnsi="Open Sans" w:cs="Open Sans"/>
              </w:rPr>
              <w:t>higher-</w:t>
            </w:r>
            <w:r w:rsidRPr="00664753">
              <w:rPr>
                <w:rFonts w:ascii="Open Sans" w:hAnsi="Open Sans" w:cs="Open Sans"/>
              </w:rPr>
              <w:t xml:space="preserve">order thinking/critical thinking skills at some point in the lesson sequence. </w:t>
            </w:r>
          </w:p>
        </w:tc>
        <w:tc>
          <w:tcPr>
            <w:tcW w:w="1397" w:type="dxa"/>
          </w:tcPr>
          <w:p w14:paraId="6446AC96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657EF48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76834923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2599B575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14D31928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367AB" w:rsidRPr="00CC7721" w14:paraId="55BF112E" w14:textId="77777777" w:rsidTr="00570832">
        <w:tc>
          <w:tcPr>
            <w:tcW w:w="4135" w:type="dxa"/>
          </w:tcPr>
          <w:p w14:paraId="1AA93F03" w14:textId="0FBC7975" w:rsidR="001367AB" w:rsidRPr="002F57B3" w:rsidRDefault="006E1C91" w:rsidP="00664753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instructor provides opportunities that challenge</w:t>
            </w:r>
            <w:r w:rsidR="001367AB" w:rsidRPr="00DA0878">
              <w:rPr>
                <w:rFonts w:ascii="Open Sans" w:hAnsi="Open Sans" w:cs="Open Sans"/>
              </w:rPr>
              <w:t xml:space="preserve"> learners to produce language (speaking or writing) beyond single words. Learners do not simply list vocabulary words but are challenged to produce language that is </w:t>
            </w:r>
            <w:r w:rsidR="002A55BF" w:rsidRPr="00DA0878">
              <w:rPr>
                <w:rFonts w:ascii="Open Sans" w:hAnsi="Open Sans" w:cs="Open Sans"/>
              </w:rPr>
              <w:t>level</w:t>
            </w:r>
            <w:r w:rsidR="002A55BF">
              <w:rPr>
                <w:rFonts w:ascii="Open Sans" w:hAnsi="Open Sans" w:cs="Open Sans"/>
              </w:rPr>
              <w:t>-</w:t>
            </w:r>
            <w:r w:rsidR="001367AB" w:rsidRPr="00DA0878">
              <w:rPr>
                <w:rFonts w:ascii="Open Sans" w:hAnsi="Open Sans" w:cs="Open Sans"/>
              </w:rPr>
              <w:t>appropriate (both complexity and amount).</w:t>
            </w:r>
          </w:p>
        </w:tc>
        <w:tc>
          <w:tcPr>
            <w:tcW w:w="1397" w:type="dxa"/>
          </w:tcPr>
          <w:p w14:paraId="69E32271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9AD2669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12A7706D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3C90B6C0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16BFC396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367AB" w:rsidRPr="00CC7721" w14:paraId="49BC27ED" w14:textId="77777777" w:rsidTr="00570832">
        <w:tc>
          <w:tcPr>
            <w:tcW w:w="4135" w:type="dxa"/>
          </w:tcPr>
          <w:p w14:paraId="2B9EE00F" w14:textId="1D8AD6F1" w:rsidR="001367AB" w:rsidRPr="002F57B3" w:rsidRDefault="001367AB" w:rsidP="00664753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The lesson includes opportunities to learn and use academic Tier 2 vocabulary words (</w:t>
            </w:r>
            <w:r w:rsidR="00CC7721" w:rsidRPr="00DA0878">
              <w:rPr>
                <w:rFonts w:ascii="Open Sans" w:hAnsi="Open Sans" w:cs="Open Sans"/>
              </w:rPr>
              <w:t>text complexity-academic language</w:t>
            </w:r>
            <w:r w:rsidRPr="00DA0878">
              <w:rPr>
                <w:rFonts w:ascii="Open Sans" w:hAnsi="Open Sans" w:cs="Open Sans"/>
              </w:rPr>
              <w:t>).</w:t>
            </w:r>
          </w:p>
        </w:tc>
        <w:tc>
          <w:tcPr>
            <w:tcW w:w="1397" w:type="dxa"/>
          </w:tcPr>
          <w:p w14:paraId="090678EB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8597E33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7C4B5885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18FD907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3685E558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367AB" w:rsidRPr="00CC7721" w14:paraId="3A3D5226" w14:textId="77777777" w:rsidTr="00570832">
        <w:tc>
          <w:tcPr>
            <w:tcW w:w="4135" w:type="dxa"/>
          </w:tcPr>
          <w:p w14:paraId="5EB9ABF2" w14:textId="50AE0F12" w:rsidR="001367AB" w:rsidRPr="00DA0878" w:rsidRDefault="001367AB" w:rsidP="00664753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Learners build knowledge as they complete the lesson activities, through informational texts and active questioning.  </w:t>
            </w:r>
            <w:r w:rsidR="00CC7721" w:rsidRPr="00DA0878">
              <w:rPr>
                <w:rFonts w:ascii="Open Sans" w:hAnsi="Open Sans" w:cs="Open Sans"/>
              </w:rPr>
              <w:t>(Knowledge)</w:t>
            </w:r>
          </w:p>
        </w:tc>
        <w:tc>
          <w:tcPr>
            <w:tcW w:w="1397" w:type="dxa"/>
          </w:tcPr>
          <w:p w14:paraId="14064932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032B451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443C6742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C523507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58C93684" w14:textId="77777777" w:rsidR="001367AB" w:rsidRPr="00CC7721" w:rsidRDefault="001367AB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CC7721" w:rsidRPr="00CC7721" w14:paraId="010CBE39" w14:textId="77777777" w:rsidTr="00570832">
        <w:tc>
          <w:tcPr>
            <w:tcW w:w="4135" w:type="dxa"/>
          </w:tcPr>
          <w:p w14:paraId="719B9295" w14:textId="77777777" w:rsidR="00CC7721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lastRenderedPageBreak/>
              <w:t>Learners must refer directly to a text to complete parts of the lesson. (Evidence)</w:t>
            </w:r>
          </w:p>
          <w:p w14:paraId="6E26BE91" w14:textId="1F7549C3" w:rsidR="00664753" w:rsidRPr="00664753" w:rsidRDefault="00664753" w:rsidP="00664753">
            <w:pPr>
              <w:ind w:left="-113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5F69BC61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66CD13E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47A428F7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FC465DE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2C84E332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1B34E0" w:rsidRPr="00CC7721" w14:paraId="6E23E799" w14:textId="77777777" w:rsidTr="00570832">
        <w:tc>
          <w:tcPr>
            <w:tcW w:w="14755" w:type="dxa"/>
            <w:gridSpan w:val="6"/>
            <w:shd w:val="clear" w:color="auto" w:fill="602D91"/>
          </w:tcPr>
          <w:p w14:paraId="353284F8" w14:textId="4B911FB3" w:rsidR="001B34E0" w:rsidRPr="00CC7721" w:rsidRDefault="00CC7721" w:rsidP="00CC7721">
            <w:pPr>
              <w:rPr>
                <w:rFonts w:ascii="Open Sans" w:hAnsi="Open Sans" w:cs="Open Sans"/>
                <w:b/>
              </w:rPr>
            </w:pPr>
            <w:r w:rsidRPr="009707B7">
              <w:rPr>
                <w:rFonts w:ascii="Open Sans" w:hAnsi="Open Sans" w:cs="Open Sans"/>
                <w:b/>
                <w:color w:val="FFFFFF" w:themeColor="background1"/>
              </w:rPr>
              <w:t>Lesson Activities and Materials</w:t>
            </w:r>
          </w:p>
        </w:tc>
      </w:tr>
      <w:tr w:rsidR="001B34E0" w:rsidRPr="00CC7721" w14:paraId="562DDB25" w14:textId="77777777" w:rsidTr="00570832">
        <w:tc>
          <w:tcPr>
            <w:tcW w:w="4135" w:type="dxa"/>
          </w:tcPr>
          <w:p w14:paraId="08B80C57" w14:textId="77777777" w:rsidR="00A604CA" w:rsidRDefault="00CC7721" w:rsidP="00664753">
            <w:pPr>
              <w:pStyle w:val="ListParagraph"/>
              <w:numPr>
                <w:ilvl w:val="0"/>
                <w:numId w:val="12"/>
              </w:numPr>
              <w:ind w:left="240"/>
              <w:rPr>
                <w:rFonts w:ascii="Open Sans" w:hAnsi="Open Sans" w:cs="Open Sans"/>
              </w:rPr>
            </w:pPr>
            <w:r w:rsidRPr="00664753">
              <w:rPr>
                <w:rFonts w:ascii="Open Sans" w:hAnsi="Open Sans" w:cs="Open Sans"/>
              </w:rPr>
              <w:t>Learners frequently interact with each other to ask/answer questions that do not have a single answer or to solve a problem.</w:t>
            </w:r>
          </w:p>
          <w:p w14:paraId="7278B9B0" w14:textId="714F4286" w:rsidR="00664753" w:rsidRPr="00664753" w:rsidRDefault="00664753" w:rsidP="00664753">
            <w:pPr>
              <w:pStyle w:val="ListParagraph"/>
              <w:ind w:left="240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1C787E5D" w14:textId="77777777" w:rsidR="001B34E0" w:rsidRPr="00CC7721" w:rsidRDefault="001B34E0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55947F24" w14:textId="77777777" w:rsidR="001B34E0" w:rsidRPr="00CC7721" w:rsidRDefault="001B34E0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3CDE5B40" w14:textId="77777777" w:rsidR="001B34E0" w:rsidRPr="00CC7721" w:rsidRDefault="001B34E0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395F718E" w14:textId="77777777" w:rsidR="001B34E0" w:rsidRPr="00CC7721" w:rsidRDefault="001B34E0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1D941D1E" w14:textId="77777777" w:rsidR="001B34E0" w:rsidRPr="00CC7721" w:rsidRDefault="001B34E0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7F57BE" w:rsidRPr="00CC7721" w14:paraId="6C15FD77" w14:textId="77777777" w:rsidTr="00570832">
        <w:tc>
          <w:tcPr>
            <w:tcW w:w="4135" w:type="dxa"/>
          </w:tcPr>
          <w:p w14:paraId="66073ED9" w14:textId="77777777" w:rsidR="007F57BE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Learner</w:t>
            </w:r>
            <w:r w:rsidR="002A55BF">
              <w:rPr>
                <w:rFonts w:ascii="Open Sans" w:hAnsi="Open Sans" w:cs="Open Sans"/>
              </w:rPr>
              <w:t>s</w:t>
            </w:r>
            <w:r w:rsidRPr="00DA0878">
              <w:rPr>
                <w:rFonts w:ascii="Open Sans" w:hAnsi="Open Sans" w:cs="Open Sans"/>
              </w:rPr>
              <w:t xml:space="preserve"> use all four skills (reading, writing, speaking, </w:t>
            </w:r>
            <w:r w:rsidR="00C53859" w:rsidRPr="00DA0878">
              <w:rPr>
                <w:rFonts w:ascii="Open Sans" w:hAnsi="Open Sans" w:cs="Open Sans"/>
              </w:rPr>
              <w:t>and listening</w:t>
            </w:r>
            <w:r w:rsidRPr="00DA0878">
              <w:rPr>
                <w:rFonts w:ascii="Open Sans" w:hAnsi="Open Sans" w:cs="Open Sans"/>
              </w:rPr>
              <w:t>) for a specific</w:t>
            </w:r>
            <w:r w:rsidR="00DA0878">
              <w:rPr>
                <w:rFonts w:ascii="Open Sans" w:hAnsi="Open Sans" w:cs="Open Sans"/>
              </w:rPr>
              <w:t xml:space="preserve"> learning</w:t>
            </w:r>
            <w:r w:rsidRPr="00DA0878">
              <w:rPr>
                <w:rFonts w:ascii="Open Sans" w:hAnsi="Open Sans" w:cs="Open Sans"/>
              </w:rPr>
              <w:t xml:space="preserve"> purpose at least one time throughout the lesson.</w:t>
            </w:r>
          </w:p>
          <w:p w14:paraId="0890D3B9" w14:textId="2750E8FF" w:rsidR="00664753" w:rsidRPr="00DA0878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371718EE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C242932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624D289F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51C4436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6871AD65" w14:textId="77777777" w:rsidR="007F57BE" w:rsidRPr="00CC7721" w:rsidRDefault="007F57BE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452AC4" w:rsidRPr="00CC7721" w14:paraId="35C8E513" w14:textId="77777777" w:rsidTr="00570832">
        <w:tc>
          <w:tcPr>
            <w:tcW w:w="4135" w:type="dxa"/>
          </w:tcPr>
          <w:p w14:paraId="1C9014FE" w14:textId="77777777" w:rsidR="00452AC4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 xml:space="preserve">The lesson content and materials are meaningful, and appropriate for learners.  </w:t>
            </w:r>
          </w:p>
          <w:p w14:paraId="4B9D6EC5" w14:textId="07F9FDF3" w:rsidR="00664753" w:rsidRPr="00DA0878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71AF51CE" w14:textId="77777777" w:rsidR="00452AC4" w:rsidRPr="00CC7721" w:rsidRDefault="00452AC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6DE24EA9" w14:textId="77777777" w:rsidR="00452AC4" w:rsidRPr="00CC7721" w:rsidRDefault="00452AC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1DF088EE" w14:textId="77777777" w:rsidR="00452AC4" w:rsidRPr="00CC7721" w:rsidRDefault="00452AC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2FC1DCB7" w14:textId="77777777" w:rsidR="00452AC4" w:rsidRPr="00CC7721" w:rsidRDefault="00452AC4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3B3D328B" w14:textId="77777777" w:rsidR="00452AC4" w:rsidRPr="00CC7721" w:rsidRDefault="00452AC4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CC7721" w:rsidRPr="00CC7721" w14:paraId="1AF9D832" w14:textId="77777777" w:rsidTr="00570832">
        <w:tc>
          <w:tcPr>
            <w:tcW w:w="4135" w:type="dxa"/>
          </w:tcPr>
          <w:p w14:paraId="177AB4E7" w14:textId="77777777" w:rsidR="00CC7721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During the lesson activities, the instructor employs differentiation strategies to meet diverse learners’ needs.</w:t>
            </w:r>
          </w:p>
          <w:p w14:paraId="49800E6C" w14:textId="77777777" w:rsidR="00664753" w:rsidRDefault="00664753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  <w:p w14:paraId="537A4D79" w14:textId="77777777" w:rsidR="00EF24A6" w:rsidRDefault="00EF24A6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  <w:p w14:paraId="2AF45211" w14:textId="071F367F" w:rsidR="00EF24A6" w:rsidRPr="00DA0878" w:rsidRDefault="00EF24A6" w:rsidP="00664753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79FD18A2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DA70379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0B3D2648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43F24C3B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4163567D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CC7721" w:rsidRPr="00CC7721" w14:paraId="6934823C" w14:textId="77777777" w:rsidTr="00570832">
        <w:tc>
          <w:tcPr>
            <w:tcW w:w="4135" w:type="dxa"/>
          </w:tcPr>
          <w:p w14:paraId="6D36B04E" w14:textId="77777777" w:rsidR="00664753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lastRenderedPageBreak/>
              <w:t>The instructor includes opportunities to practice using target language structures and vocabulary in a meaningful context that models use outside of the classroom.</w:t>
            </w:r>
          </w:p>
          <w:p w14:paraId="6B027A29" w14:textId="088EE6BE" w:rsidR="00EF24A6" w:rsidRPr="00DA0878" w:rsidRDefault="00EF24A6" w:rsidP="00EF24A6">
            <w:pPr>
              <w:pStyle w:val="ListParagraph"/>
              <w:ind w:left="247"/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59156A82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25A3E18F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1B10E6BF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7270DEE9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6F249351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</w:tr>
      <w:tr w:rsidR="00CC7721" w:rsidRPr="00CC7721" w14:paraId="5BE76481" w14:textId="77777777" w:rsidTr="00570832">
        <w:tc>
          <w:tcPr>
            <w:tcW w:w="4135" w:type="dxa"/>
          </w:tcPr>
          <w:p w14:paraId="330600BB" w14:textId="55B13AA3" w:rsidR="00CC7721" w:rsidRPr="006E1C91" w:rsidRDefault="00CC7721" w:rsidP="00664753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Open Sans" w:hAnsi="Open Sans" w:cs="Open Sans"/>
              </w:rPr>
            </w:pPr>
            <w:r w:rsidRPr="00DA0878">
              <w:rPr>
                <w:rFonts w:ascii="Open Sans" w:hAnsi="Open Sans" w:cs="Open Sans"/>
              </w:rPr>
              <w:t>The lesson activities are thoughtfully sequenced to promote learning</w:t>
            </w:r>
            <w:r w:rsidR="002A55BF">
              <w:rPr>
                <w:rFonts w:ascii="Open Sans" w:hAnsi="Open Sans" w:cs="Open Sans"/>
              </w:rPr>
              <w:t>,</w:t>
            </w:r>
            <w:r w:rsidR="002A55BF" w:rsidRPr="00DA0878">
              <w:rPr>
                <w:rFonts w:ascii="Open Sans" w:hAnsi="Open Sans" w:cs="Open Sans"/>
              </w:rPr>
              <w:t xml:space="preserve"> </w:t>
            </w:r>
            <w:r w:rsidRPr="00DA0878">
              <w:rPr>
                <w:rFonts w:ascii="Open Sans" w:hAnsi="Open Sans" w:cs="Open Sans"/>
              </w:rPr>
              <w:t>starting with what learners already know and building at an appropriate rate.  Language, literacy, and skill support is provided as appropriate.</w:t>
            </w:r>
          </w:p>
        </w:tc>
        <w:tc>
          <w:tcPr>
            <w:tcW w:w="1397" w:type="dxa"/>
          </w:tcPr>
          <w:p w14:paraId="0856DEE1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07B10228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5" w:type="dxa"/>
          </w:tcPr>
          <w:p w14:paraId="2CAC76A6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97" w:type="dxa"/>
          </w:tcPr>
          <w:p w14:paraId="6F508808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34" w:type="dxa"/>
          </w:tcPr>
          <w:p w14:paraId="7F7F90EA" w14:textId="77777777" w:rsidR="00CC7721" w:rsidRPr="00CC7721" w:rsidRDefault="00CC7721" w:rsidP="006B574B">
            <w:pPr>
              <w:rPr>
                <w:rFonts w:ascii="Open Sans" w:hAnsi="Open Sans" w:cs="Open Sans"/>
                <w:b/>
              </w:rPr>
            </w:pPr>
          </w:p>
        </w:tc>
      </w:tr>
    </w:tbl>
    <w:p w14:paraId="14ADA309" w14:textId="77777777" w:rsidR="00C62AD4" w:rsidRPr="00CC7721" w:rsidRDefault="00C62AD4" w:rsidP="00C62AD4">
      <w:pPr>
        <w:rPr>
          <w:rFonts w:ascii="Open Sans" w:hAnsi="Open Sans" w:cs="Open Sans"/>
        </w:rPr>
      </w:pPr>
    </w:p>
    <w:p w14:paraId="64544E9C" w14:textId="77777777" w:rsidR="00C62AD4" w:rsidRPr="00CC7721" w:rsidRDefault="00C62AD4" w:rsidP="00C62AD4">
      <w:pPr>
        <w:rPr>
          <w:rFonts w:ascii="Open Sans" w:hAnsi="Open Sans" w:cs="Open Sans"/>
        </w:rPr>
      </w:pPr>
    </w:p>
    <w:p w14:paraId="1158954F" w14:textId="77777777" w:rsidR="008E6DD8" w:rsidRPr="00CC7721" w:rsidRDefault="008E6DD8">
      <w:pPr>
        <w:rPr>
          <w:rFonts w:ascii="Open Sans" w:hAnsi="Open Sans" w:cs="Open Sans"/>
        </w:rPr>
      </w:pPr>
    </w:p>
    <w:sectPr w:rsidR="008E6DD8" w:rsidRPr="00CC7721" w:rsidSect="006E1C9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377F" w14:textId="77777777" w:rsidR="00E80D09" w:rsidRDefault="00E80D09" w:rsidP="005B24C4">
      <w:pPr>
        <w:spacing w:after="0" w:line="240" w:lineRule="auto"/>
      </w:pPr>
      <w:r>
        <w:separator/>
      </w:r>
    </w:p>
  </w:endnote>
  <w:endnote w:type="continuationSeparator" w:id="0">
    <w:p w14:paraId="4219D718" w14:textId="77777777" w:rsidR="00E80D09" w:rsidRDefault="00E80D09" w:rsidP="005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0D420" w14:textId="0D4F72DC" w:rsidR="00D85477" w:rsidRPr="00D85477" w:rsidRDefault="007D162E">
    <w:pPr>
      <w:pStyle w:val="Footer"/>
      <w:rPr>
        <w:sz w:val="18"/>
        <w:szCs w:val="18"/>
      </w:rPr>
    </w:pPr>
    <w:r>
      <w:rPr>
        <w:sz w:val="18"/>
        <w:szCs w:val="18"/>
      </w:rPr>
      <w:t>ELPS</w:t>
    </w:r>
    <w:r w:rsidR="00E92EBD">
      <w:rPr>
        <w:sz w:val="18"/>
        <w:szCs w:val="18"/>
      </w:rPr>
      <w:t xml:space="preserve"> </w:t>
    </w:r>
    <w:r w:rsidR="00D85477">
      <w:rPr>
        <w:sz w:val="18"/>
        <w:szCs w:val="18"/>
      </w:rPr>
      <w:t>Institute</w:t>
    </w:r>
    <w:r w:rsidR="00AD13C9">
      <w:rPr>
        <w:sz w:val="18"/>
        <w:szCs w:val="18"/>
      </w:rPr>
      <w:t xml:space="preserve"> – Year Two </w:t>
    </w:r>
    <w:r w:rsidR="00FD4C9A">
      <w:rPr>
        <w:sz w:val="18"/>
        <w:szCs w:val="18"/>
      </w:rPr>
      <w:t>Implementation</w:t>
    </w:r>
  </w:p>
  <w:p w14:paraId="7EF6A8C9" w14:textId="3010F0C2" w:rsidR="00D85477" w:rsidRDefault="00A3561A">
    <w:pPr>
      <w:pStyle w:val="Footer"/>
    </w:pPr>
    <w:r>
      <w:rPr>
        <w:sz w:val="18"/>
        <w:szCs w:val="18"/>
      </w:rPr>
      <w:t>Last Revised</w:t>
    </w:r>
    <w:r w:rsidR="0023090F">
      <w:rPr>
        <w:sz w:val="18"/>
        <w:szCs w:val="18"/>
      </w:rPr>
      <w:t>: August 20</w:t>
    </w:r>
    <w:r w:rsidR="00664753">
      <w:rPr>
        <w:sz w:val="18"/>
        <w:szCs w:val="18"/>
      </w:rPr>
      <w:t>, 2019</w:t>
    </w:r>
    <w:r w:rsidR="0023090F">
      <w:rPr>
        <w:sz w:val="18"/>
        <w:szCs w:val="18"/>
      </w:rPr>
      <w:tab/>
    </w:r>
    <w:r w:rsidR="0023090F">
      <w:rPr>
        <w:sz w:val="18"/>
        <w:szCs w:val="18"/>
      </w:rPr>
      <w:tab/>
    </w:r>
    <w:r w:rsidR="00D85477">
      <w:tab/>
    </w:r>
    <w:r w:rsidR="00D85477">
      <w:tab/>
    </w:r>
    <w:r w:rsidR="00D85477">
      <w:tab/>
    </w:r>
    <w:r w:rsidR="00D85477">
      <w:tab/>
    </w:r>
    <w:r w:rsidR="00D85477">
      <w:tab/>
    </w:r>
    <w:r w:rsidR="00D85477" w:rsidRPr="00F55B18">
      <w:rPr>
        <w:sz w:val="18"/>
      </w:rPr>
      <w:tab/>
    </w:r>
    <w:r w:rsidR="00D85477" w:rsidRPr="00F55B18">
      <w:rPr>
        <w:sz w:val="18"/>
      </w:rPr>
      <w:fldChar w:fldCharType="begin"/>
    </w:r>
    <w:r w:rsidR="00D85477" w:rsidRPr="00F55B18">
      <w:rPr>
        <w:sz w:val="18"/>
      </w:rPr>
      <w:instrText xml:space="preserve"> PAGE   \* MERGEFORMAT </w:instrText>
    </w:r>
    <w:r w:rsidR="00D85477" w:rsidRPr="00F55B18">
      <w:rPr>
        <w:sz w:val="18"/>
      </w:rPr>
      <w:fldChar w:fldCharType="separate"/>
    </w:r>
    <w:r w:rsidR="0023090F">
      <w:rPr>
        <w:noProof/>
        <w:sz w:val="18"/>
      </w:rPr>
      <w:t>5</w:t>
    </w:r>
    <w:r w:rsidR="00D85477" w:rsidRPr="00F55B18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F7B7" w14:textId="77777777" w:rsidR="00E80D09" w:rsidRDefault="00E80D09" w:rsidP="005B24C4">
      <w:pPr>
        <w:spacing w:after="0" w:line="240" w:lineRule="auto"/>
      </w:pPr>
      <w:r>
        <w:separator/>
      </w:r>
    </w:p>
  </w:footnote>
  <w:footnote w:type="continuationSeparator" w:id="0">
    <w:p w14:paraId="41D44AE2" w14:textId="77777777" w:rsidR="00E80D09" w:rsidRDefault="00E80D09" w:rsidP="005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78D0" w14:textId="0053F247" w:rsidR="00AA0EB1" w:rsidRPr="00DF0743" w:rsidRDefault="00DF0743" w:rsidP="00DF0743">
    <w:pPr>
      <w:rPr>
        <w:rFonts w:ascii="Open Sans" w:hAnsi="Open Sans" w:cs="Open Sans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B685B2" wp14:editId="79CDAB23">
          <wp:simplePos x="0" y="0"/>
          <wp:positionH relativeFrom="margin">
            <wp:posOffset>7629525</wp:posOffset>
          </wp:positionH>
          <wp:positionV relativeFrom="margin">
            <wp:posOffset>-572135</wp:posOffset>
          </wp:positionV>
          <wp:extent cx="1304925" cy="410210"/>
          <wp:effectExtent l="0" t="0" r="9525" b="8890"/>
          <wp:wrapSquare wrapText="bothSides"/>
          <wp:docPr id="3" name="Picture 3" title="Pennsylvania Adult Educatio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3A06">
      <w:rPr>
        <w:rFonts w:ascii="Open Sans" w:hAnsi="Open Sans" w:cs="Open Sans"/>
        <w:b/>
        <w:sz w:val="32"/>
      </w:rPr>
      <w:t xml:space="preserve">ELPS Peer Observation </w:t>
    </w:r>
    <w:r>
      <w:rPr>
        <w:rFonts w:ascii="Open Sans" w:hAnsi="Open Sans" w:cs="Open Sans"/>
        <w:b/>
        <w:sz w:val="32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A4B"/>
    <w:multiLevelType w:val="hybridMultilevel"/>
    <w:tmpl w:val="57467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6632A"/>
    <w:multiLevelType w:val="hybridMultilevel"/>
    <w:tmpl w:val="BE0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26B6"/>
    <w:multiLevelType w:val="hybridMultilevel"/>
    <w:tmpl w:val="86B4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31E2"/>
    <w:multiLevelType w:val="hybridMultilevel"/>
    <w:tmpl w:val="A344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021D5"/>
    <w:multiLevelType w:val="hybridMultilevel"/>
    <w:tmpl w:val="2F984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3189"/>
    <w:multiLevelType w:val="hybridMultilevel"/>
    <w:tmpl w:val="1FA8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449AA"/>
    <w:multiLevelType w:val="hybridMultilevel"/>
    <w:tmpl w:val="8B9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16DD"/>
    <w:multiLevelType w:val="hybridMultilevel"/>
    <w:tmpl w:val="2B7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45E2"/>
    <w:multiLevelType w:val="hybridMultilevel"/>
    <w:tmpl w:val="52B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36E48"/>
    <w:multiLevelType w:val="hybridMultilevel"/>
    <w:tmpl w:val="CC4E63A8"/>
    <w:lvl w:ilvl="0" w:tplc="093CAD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6141E"/>
    <w:multiLevelType w:val="hybridMultilevel"/>
    <w:tmpl w:val="FE72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6FFA"/>
    <w:multiLevelType w:val="hybridMultilevel"/>
    <w:tmpl w:val="3464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3268D"/>
    <w:multiLevelType w:val="hybridMultilevel"/>
    <w:tmpl w:val="B078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B07AC"/>
    <w:multiLevelType w:val="hybridMultilevel"/>
    <w:tmpl w:val="90D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D10B2"/>
    <w:multiLevelType w:val="hybridMultilevel"/>
    <w:tmpl w:val="3976F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E27FF"/>
    <w:multiLevelType w:val="hybridMultilevel"/>
    <w:tmpl w:val="D28851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B667BC"/>
    <w:multiLevelType w:val="hybridMultilevel"/>
    <w:tmpl w:val="4E3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F"/>
    <w:rsid w:val="00053032"/>
    <w:rsid w:val="00060899"/>
    <w:rsid w:val="00063B5C"/>
    <w:rsid w:val="000765D0"/>
    <w:rsid w:val="00094697"/>
    <w:rsid w:val="00095988"/>
    <w:rsid w:val="000B2D6E"/>
    <w:rsid w:val="00106B2C"/>
    <w:rsid w:val="00112C90"/>
    <w:rsid w:val="0012786A"/>
    <w:rsid w:val="001367AB"/>
    <w:rsid w:val="001579D3"/>
    <w:rsid w:val="001650A6"/>
    <w:rsid w:val="001743AD"/>
    <w:rsid w:val="001828E5"/>
    <w:rsid w:val="001B2EE3"/>
    <w:rsid w:val="001B34E0"/>
    <w:rsid w:val="001C4685"/>
    <w:rsid w:val="001D2D75"/>
    <w:rsid w:val="001D3DD7"/>
    <w:rsid w:val="0020640D"/>
    <w:rsid w:val="0020718C"/>
    <w:rsid w:val="0023090F"/>
    <w:rsid w:val="002339EA"/>
    <w:rsid w:val="00240299"/>
    <w:rsid w:val="00242872"/>
    <w:rsid w:val="002652F5"/>
    <w:rsid w:val="00270AF7"/>
    <w:rsid w:val="002A55BF"/>
    <w:rsid w:val="002B16B6"/>
    <w:rsid w:val="002C4C43"/>
    <w:rsid w:val="002F57B3"/>
    <w:rsid w:val="00311C1C"/>
    <w:rsid w:val="00315179"/>
    <w:rsid w:val="00316D21"/>
    <w:rsid w:val="00321929"/>
    <w:rsid w:val="003359D2"/>
    <w:rsid w:val="00361DAD"/>
    <w:rsid w:val="00395225"/>
    <w:rsid w:val="003C3C40"/>
    <w:rsid w:val="003C6709"/>
    <w:rsid w:val="003C7D44"/>
    <w:rsid w:val="003E315D"/>
    <w:rsid w:val="003E5FCB"/>
    <w:rsid w:val="00403778"/>
    <w:rsid w:val="00423A5F"/>
    <w:rsid w:val="00424934"/>
    <w:rsid w:val="00425BD9"/>
    <w:rsid w:val="0043450F"/>
    <w:rsid w:val="00444582"/>
    <w:rsid w:val="00445CF0"/>
    <w:rsid w:val="00452AC4"/>
    <w:rsid w:val="0049307E"/>
    <w:rsid w:val="004961A3"/>
    <w:rsid w:val="004A4A5E"/>
    <w:rsid w:val="004B74C8"/>
    <w:rsid w:val="004C78AF"/>
    <w:rsid w:val="00504AC8"/>
    <w:rsid w:val="005165B9"/>
    <w:rsid w:val="00570832"/>
    <w:rsid w:val="00582EBD"/>
    <w:rsid w:val="005B24C4"/>
    <w:rsid w:val="005C5840"/>
    <w:rsid w:val="005F4513"/>
    <w:rsid w:val="00614F71"/>
    <w:rsid w:val="00664753"/>
    <w:rsid w:val="006753EE"/>
    <w:rsid w:val="006801B5"/>
    <w:rsid w:val="006843D2"/>
    <w:rsid w:val="006A046B"/>
    <w:rsid w:val="006A4324"/>
    <w:rsid w:val="006D499F"/>
    <w:rsid w:val="006D676F"/>
    <w:rsid w:val="006E1C91"/>
    <w:rsid w:val="006E651F"/>
    <w:rsid w:val="00707657"/>
    <w:rsid w:val="00714D8C"/>
    <w:rsid w:val="00723549"/>
    <w:rsid w:val="00735100"/>
    <w:rsid w:val="007B2311"/>
    <w:rsid w:val="007B3A1E"/>
    <w:rsid w:val="007C6D7A"/>
    <w:rsid w:val="007D162E"/>
    <w:rsid w:val="007F094E"/>
    <w:rsid w:val="007F57BE"/>
    <w:rsid w:val="0080036A"/>
    <w:rsid w:val="008023F0"/>
    <w:rsid w:val="00806B97"/>
    <w:rsid w:val="00820BFC"/>
    <w:rsid w:val="00864C8C"/>
    <w:rsid w:val="00871519"/>
    <w:rsid w:val="00873F7B"/>
    <w:rsid w:val="00883102"/>
    <w:rsid w:val="00892675"/>
    <w:rsid w:val="008B6497"/>
    <w:rsid w:val="008C3006"/>
    <w:rsid w:val="008D3EA6"/>
    <w:rsid w:val="008E149F"/>
    <w:rsid w:val="008E6DD8"/>
    <w:rsid w:val="00902EA1"/>
    <w:rsid w:val="009707B7"/>
    <w:rsid w:val="0099166E"/>
    <w:rsid w:val="009C4FE6"/>
    <w:rsid w:val="009D0E89"/>
    <w:rsid w:val="00A02DB4"/>
    <w:rsid w:val="00A050DF"/>
    <w:rsid w:val="00A206FD"/>
    <w:rsid w:val="00A25729"/>
    <w:rsid w:val="00A3561A"/>
    <w:rsid w:val="00A604CA"/>
    <w:rsid w:val="00AA0EB1"/>
    <w:rsid w:val="00AB4896"/>
    <w:rsid w:val="00AC1C96"/>
    <w:rsid w:val="00AD13C9"/>
    <w:rsid w:val="00AD3AE2"/>
    <w:rsid w:val="00AF2781"/>
    <w:rsid w:val="00AF5A5F"/>
    <w:rsid w:val="00B0423A"/>
    <w:rsid w:val="00B05822"/>
    <w:rsid w:val="00B4242E"/>
    <w:rsid w:val="00B56316"/>
    <w:rsid w:val="00B56FB9"/>
    <w:rsid w:val="00B5748C"/>
    <w:rsid w:val="00B73418"/>
    <w:rsid w:val="00B749F0"/>
    <w:rsid w:val="00B83C51"/>
    <w:rsid w:val="00BB1AB0"/>
    <w:rsid w:val="00BC0717"/>
    <w:rsid w:val="00BC0894"/>
    <w:rsid w:val="00BD77E4"/>
    <w:rsid w:val="00C060FA"/>
    <w:rsid w:val="00C164A1"/>
    <w:rsid w:val="00C23A06"/>
    <w:rsid w:val="00C2545F"/>
    <w:rsid w:val="00C35F25"/>
    <w:rsid w:val="00C53859"/>
    <w:rsid w:val="00C53BE3"/>
    <w:rsid w:val="00C55F6F"/>
    <w:rsid w:val="00C62AD4"/>
    <w:rsid w:val="00C85C21"/>
    <w:rsid w:val="00C874CE"/>
    <w:rsid w:val="00CA7548"/>
    <w:rsid w:val="00CC7721"/>
    <w:rsid w:val="00CF7CAE"/>
    <w:rsid w:val="00D1515F"/>
    <w:rsid w:val="00D36C22"/>
    <w:rsid w:val="00D637A8"/>
    <w:rsid w:val="00D81547"/>
    <w:rsid w:val="00D85404"/>
    <w:rsid w:val="00D85477"/>
    <w:rsid w:val="00DA0878"/>
    <w:rsid w:val="00DB2A50"/>
    <w:rsid w:val="00DC1B08"/>
    <w:rsid w:val="00DF0743"/>
    <w:rsid w:val="00E012EF"/>
    <w:rsid w:val="00E20146"/>
    <w:rsid w:val="00E233BD"/>
    <w:rsid w:val="00E335ED"/>
    <w:rsid w:val="00E41E65"/>
    <w:rsid w:val="00E80D09"/>
    <w:rsid w:val="00E92EBD"/>
    <w:rsid w:val="00EA52FE"/>
    <w:rsid w:val="00EA6A20"/>
    <w:rsid w:val="00EB23B3"/>
    <w:rsid w:val="00ED0301"/>
    <w:rsid w:val="00EF24A6"/>
    <w:rsid w:val="00F0106C"/>
    <w:rsid w:val="00F03412"/>
    <w:rsid w:val="00F26EFE"/>
    <w:rsid w:val="00F324D6"/>
    <w:rsid w:val="00F55B18"/>
    <w:rsid w:val="00F60D02"/>
    <w:rsid w:val="00FC05A1"/>
    <w:rsid w:val="00FD1A01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1F834"/>
  <w15:chartTrackingRefBased/>
  <w15:docId w15:val="{04B18451-6FC9-4A22-BB54-7F678A7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4"/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4"/>
  </w:style>
  <w:style w:type="paragraph" w:styleId="BalloonText">
    <w:name w:val="Balloon Text"/>
    <w:basedOn w:val="Normal"/>
    <w:link w:val="BalloonTextChar"/>
    <w:uiPriority w:val="99"/>
    <w:semiHidden/>
    <w:unhideWhenUsed/>
    <w:rsid w:val="00D8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664F-993B-4C28-9FD0-D5C23D6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518</Words>
  <Characters>3086</Characters>
  <Application>Microsoft Office Word</Application>
  <DocSecurity>0</DocSecurity>
  <Lines>257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Observation</vt:lpstr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Observation</dc:title>
  <dc:subject/>
  <dc:creator>Maribel Ojeda</dc:creator>
  <cp:keywords/>
  <dc:description/>
  <cp:lastModifiedBy>Destiny Simpson</cp:lastModifiedBy>
  <cp:revision>4</cp:revision>
  <cp:lastPrinted>2019-03-20T14:10:00Z</cp:lastPrinted>
  <dcterms:created xsi:type="dcterms:W3CDTF">2019-08-21T21:42:00Z</dcterms:created>
  <dcterms:modified xsi:type="dcterms:W3CDTF">2019-08-28T18:36:00Z</dcterms:modified>
</cp:coreProperties>
</file>