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B1E1" w14:textId="77777777" w:rsidR="0067320D" w:rsidRPr="00E771B0" w:rsidRDefault="0067320D">
      <w:pPr>
        <w:pBdr>
          <w:top w:val="nil"/>
          <w:left w:val="nil"/>
          <w:bottom w:val="nil"/>
          <w:right w:val="nil"/>
          <w:between w:val="nil"/>
        </w:pBdr>
        <w:spacing w:after="0" w:line="240" w:lineRule="auto"/>
        <w:rPr>
          <w:rFonts w:ascii="Open Sans" w:hAnsi="Open Sans" w:cs="Open Sans"/>
          <w:b/>
          <w:color w:val="000000"/>
          <w:sz w:val="16"/>
          <w:szCs w:val="23"/>
        </w:rPr>
      </w:pPr>
      <w:bookmarkStart w:id="0" w:name="_GoBack"/>
      <w:bookmarkEnd w:id="0"/>
    </w:p>
    <w:p w14:paraId="068FE82C" w14:textId="0B93B54C" w:rsidR="00DC7BD0" w:rsidRPr="00116FF5" w:rsidRDefault="00873C63">
      <w:pPr>
        <w:pBdr>
          <w:top w:val="nil"/>
          <w:left w:val="nil"/>
          <w:bottom w:val="nil"/>
          <w:right w:val="nil"/>
          <w:between w:val="nil"/>
        </w:pBdr>
        <w:spacing w:after="0" w:line="240" w:lineRule="auto"/>
        <w:rPr>
          <w:rFonts w:ascii="Open Sans" w:hAnsi="Open Sans" w:cs="Open Sans"/>
          <w:color w:val="000000"/>
        </w:rPr>
      </w:pPr>
      <w:r w:rsidRPr="00116FF5">
        <w:rPr>
          <w:rFonts w:ascii="Open Sans" w:hAnsi="Open Sans" w:cs="Open Sans"/>
          <w:color w:val="000000"/>
        </w:rPr>
        <w:t xml:space="preserve">The third advance in </w:t>
      </w:r>
      <w:r w:rsidR="006400BC">
        <w:rPr>
          <w:rFonts w:ascii="Open Sans" w:hAnsi="Open Sans" w:cs="Open Sans"/>
          <w:color w:val="000000"/>
        </w:rPr>
        <w:t>C</w:t>
      </w:r>
      <w:r w:rsidR="006400BC" w:rsidRPr="00116FF5">
        <w:rPr>
          <w:rFonts w:ascii="Open Sans" w:hAnsi="Open Sans" w:cs="Open Sans"/>
          <w:color w:val="000000"/>
        </w:rPr>
        <w:t xml:space="preserve">ollege </w:t>
      </w:r>
      <w:r w:rsidRPr="00116FF5">
        <w:rPr>
          <w:rFonts w:ascii="Open Sans" w:hAnsi="Open Sans" w:cs="Open Sans"/>
          <w:color w:val="000000"/>
        </w:rPr>
        <w:t xml:space="preserve">and </w:t>
      </w:r>
      <w:r w:rsidR="006400BC">
        <w:rPr>
          <w:rFonts w:ascii="Open Sans" w:hAnsi="Open Sans" w:cs="Open Sans"/>
          <w:color w:val="000000"/>
        </w:rPr>
        <w:t>C</w:t>
      </w:r>
      <w:r w:rsidR="006400BC" w:rsidRPr="00116FF5">
        <w:rPr>
          <w:rFonts w:ascii="Open Sans" w:hAnsi="Open Sans" w:cs="Open Sans"/>
          <w:color w:val="000000"/>
        </w:rPr>
        <w:t xml:space="preserve">areer </w:t>
      </w:r>
      <w:r w:rsidR="006400BC">
        <w:rPr>
          <w:rFonts w:ascii="Open Sans" w:hAnsi="Open Sans" w:cs="Open Sans"/>
          <w:color w:val="000000"/>
        </w:rPr>
        <w:t>R</w:t>
      </w:r>
      <w:r w:rsidR="006400BC" w:rsidRPr="00116FF5">
        <w:rPr>
          <w:rFonts w:ascii="Open Sans" w:hAnsi="Open Sans" w:cs="Open Sans"/>
          <w:color w:val="000000"/>
        </w:rPr>
        <w:t xml:space="preserve">eadiness </w:t>
      </w:r>
      <w:r w:rsidRPr="00116FF5">
        <w:rPr>
          <w:rFonts w:ascii="Open Sans" w:hAnsi="Open Sans" w:cs="Open Sans"/>
          <w:color w:val="000000"/>
        </w:rPr>
        <w:t xml:space="preserve">(CCR) standards is “building knowledge through content-rich nonfiction.” This is critically important for its power to accelerate student growth. It is developed through curriculum material and lesson planning in several ways: </w:t>
      </w:r>
    </w:p>
    <w:p w14:paraId="59CA94F5" w14:textId="77777777" w:rsidR="00DC7BD0" w:rsidRPr="00E771B0" w:rsidRDefault="00DC7BD0">
      <w:pPr>
        <w:pBdr>
          <w:top w:val="nil"/>
          <w:left w:val="nil"/>
          <w:bottom w:val="nil"/>
          <w:right w:val="nil"/>
          <w:between w:val="nil"/>
        </w:pBdr>
        <w:spacing w:after="0" w:line="240" w:lineRule="auto"/>
        <w:rPr>
          <w:rFonts w:ascii="Open Sans" w:hAnsi="Open Sans" w:cs="Open Sans"/>
          <w:color w:val="000000"/>
          <w:sz w:val="16"/>
        </w:rPr>
      </w:pPr>
    </w:p>
    <w:p w14:paraId="4BC164F4" w14:textId="77777777" w:rsidR="00116FF5" w:rsidRPr="0067320D" w:rsidRDefault="00873C63" w:rsidP="00116FF5">
      <w:pPr>
        <w:pBdr>
          <w:top w:val="nil"/>
          <w:left w:val="nil"/>
          <w:bottom w:val="nil"/>
          <w:right w:val="nil"/>
          <w:between w:val="nil"/>
        </w:pBdr>
        <w:spacing w:after="0" w:line="240" w:lineRule="auto"/>
        <w:rPr>
          <w:rFonts w:ascii="Open Sans" w:hAnsi="Open Sans" w:cs="Open Sans"/>
          <w:b/>
          <w:color w:val="000000"/>
          <w:sz w:val="24"/>
        </w:rPr>
      </w:pPr>
      <w:r w:rsidRPr="0067320D">
        <w:rPr>
          <w:rFonts w:ascii="Open Sans" w:hAnsi="Open Sans" w:cs="Open Sans"/>
          <w:b/>
          <w:color w:val="000000"/>
          <w:sz w:val="24"/>
        </w:rPr>
        <w:t xml:space="preserve">Building knowledge through exposing students to high-quality informational text. </w:t>
      </w:r>
    </w:p>
    <w:p w14:paraId="554AB856" w14:textId="77777777" w:rsidR="00DC7BD0" w:rsidRPr="00116FF5" w:rsidRDefault="00873C63" w:rsidP="00116FF5">
      <w:pPr>
        <w:pBdr>
          <w:top w:val="nil"/>
          <w:left w:val="nil"/>
          <w:bottom w:val="nil"/>
          <w:right w:val="nil"/>
          <w:between w:val="nil"/>
        </w:pBdr>
        <w:spacing w:after="0" w:line="240" w:lineRule="auto"/>
        <w:rPr>
          <w:rFonts w:ascii="Open Sans" w:hAnsi="Open Sans" w:cs="Open Sans"/>
          <w:color w:val="000000"/>
        </w:rPr>
      </w:pPr>
      <w:r w:rsidRPr="00116FF5">
        <w:rPr>
          <w:rFonts w:ascii="Open Sans" w:hAnsi="Open Sans" w:cs="Open Sans"/>
          <w:color w:val="000000"/>
        </w:rPr>
        <w:t xml:space="preserve">The CCR standards emphasize reading informational texts and are explicit about the importance of students being able to glean knowledge from what they read. Selecting texts for careful study from the content areas of history, social studies, technical subjects, and science (named in the CCR literacy standards) can promote this learning. </w:t>
      </w:r>
    </w:p>
    <w:p w14:paraId="2E8E90F6" w14:textId="77777777" w:rsidR="00DC7BD0" w:rsidRPr="00E771B0" w:rsidRDefault="00DC7BD0">
      <w:pPr>
        <w:pBdr>
          <w:top w:val="nil"/>
          <w:left w:val="nil"/>
          <w:bottom w:val="nil"/>
          <w:right w:val="nil"/>
          <w:between w:val="nil"/>
        </w:pBdr>
        <w:spacing w:after="0" w:line="240" w:lineRule="auto"/>
        <w:rPr>
          <w:rFonts w:ascii="Open Sans" w:hAnsi="Open Sans" w:cs="Open Sans"/>
          <w:color w:val="000000"/>
          <w:sz w:val="16"/>
        </w:rPr>
      </w:pPr>
    </w:p>
    <w:p w14:paraId="2E5BFF6A" w14:textId="77777777" w:rsidR="00116FF5" w:rsidRPr="0067320D" w:rsidRDefault="00873C63" w:rsidP="00116FF5">
      <w:pPr>
        <w:pBdr>
          <w:top w:val="nil"/>
          <w:left w:val="nil"/>
          <w:bottom w:val="nil"/>
          <w:right w:val="nil"/>
          <w:between w:val="nil"/>
        </w:pBdr>
        <w:spacing w:after="0" w:line="240" w:lineRule="auto"/>
        <w:rPr>
          <w:rFonts w:ascii="Open Sans" w:hAnsi="Open Sans" w:cs="Open Sans"/>
          <w:b/>
          <w:color w:val="000000"/>
          <w:sz w:val="24"/>
        </w:rPr>
      </w:pPr>
      <w:r w:rsidRPr="0067320D">
        <w:rPr>
          <w:rFonts w:ascii="Open Sans" w:hAnsi="Open Sans" w:cs="Open Sans"/>
          <w:b/>
          <w:color w:val="000000"/>
          <w:sz w:val="24"/>
        </w:rPr>
        <w:t xml:space="preserve">Offering additional readings on the same topic as the text from the lesson. </w:t>
      </w:r>
    </w:p>
    <w:p w14:paraId="1A625B61" w14:textId="77777777" w:rsidR="00DC7BD0" w:rsidRPr="00116FF5" w:rsidRDefault="00873C63" w:rsidP="00116FF5">
      <w:pPr>
        <w:pBdr>
          <w:top w:val="nil"/>
          <w:left w:val="nil"/>
          <w:bottom w:val="nil"/>
          <w:right w:val="nil"/>
          <w:between w:val="nil"/>
        </w:pBdr>
        <w:spacing w:after="0" w:line="240" w:lineRule="auto"/>
        <w:rPr>
          <w:rFonts w:ascii="Open Sans" w:hAnsi="Open Sans" w:cs="Open Sans"/>
          <w:color w:val="000000"/>
        </w:rPr>
      </w:pPr>
      <w:r w:rsidRPr="00116FF5">
        <w:rPr>
          <w:rFonts w:ascii="Open Sans" w:hAnsi="Open Sans" w:cs="Open Sans"/>
          <w:color w:val="000000"/>
        </w:rPr>
        <w:t xml:space="preserve">Staying with a topic to develop a line of inquiry or cross-curricular series of lessons allows learners to build knowledge, acquire vocabulary, and strengthen reading comprehension. Using texts that have overlapping information can help students connect what they know to new content. In addition, repetition is key to learning new academic vocabulary that is not learned in direct instruction. </w:t>
      </w:r>
    </w:p>
    <w:p w14:paraId="4A5851DC" w14:textId="77777777" w:rsidR="00DC7BD0" w:rsidRPr="00E771B0" w:rsidRDefault="00DC7BD0">
      <w:pPr>
        <w:pBdr>
          <w:top w:val="nil"/>
          <w:left w:val="nil"/>
          <w:bottom w:val="nil"/>
          <w:right w:val="nil"/>
          <w:between w:val="nil"/>
        </w:pBdr>
        <w:spacing w:after="0" w:line="240" w:lineRule="auto"/>
        <w:rPr>
          <w:rFonts w:ascii="Open Sans" w:hAnsi="Open Sans" w:cs="Open Sans"/>
          <w:color w:val="000000"/>
          <w:sz w:val="16"/>
        </w:rPr>
      </w:pPr>
    </w:p>
    <w:p w14:paraId="3949328C" w14:textId="77777777" w:rsidR="00116FF5" w:rsidRPr="0067320D" w:rsidRDefault="00873C63" w:rsidP="00116FF5">
      <w:pPr>
        <w:pBdr>
          <w:top w:val="nil"/>
          <w:left w:val="nil"/>
          <w:bottom w:val="nil"/>
          <w:right w:val="nil"/>
          <w:between w:val="nil"/>
        </w:pBdr>
        <w:spacing w:after="0" w:line="240" w:lineRule="auto"/>
        <w:rPr>
          <w:rFonts w:ascii="Open Sans" w:hAnsi="Open Sans" w:cs="Open Sans"/>
          <w:b/>
          <w:color w:val="000000"/>
          <w:sz w:val="24"/>
        </w:rPr>
      </w:pPr>
      <w:r w:rsidRPr="0067320D">
        <w:rPr>
          <w:rFonts w:ascii="Open Sans" w:hAnsi="Open Sans" w:cs="Open Sans"/>
          <w:b/>
          <w:color w:val="000000"/>
          <w:sz w:val="24"/>
        </w:rPr>
        <w:t xml:space="preserve">Requiring students to read independently at their own level of proficiency. </w:t>
      </w:r>
    </w:p>
    <w:p w14:paraId="48250597" w14:textId="77777777" w:rsidR="00DC7BD0" w:rsidRPr="00116FF5" w:rsidRDefault="00873C63" w:rsidP="00116FF5">
      <w:pPr>
        <w:pBdr>
          <w:top w:val="nil"/>
          <w:left w:val="nil"/>
          <w:bottom w:val="nil"/>
          <w:right w:val="nil"/>
          <w:between w:val="nil"/>
        </w:pBdr>
        <w:spacing w:after="0" w:line="240" w:lineRule="auto"/>
        <w:rPr>
          <w:rFonts w:ascii="Open Sans" w:hAnsi="Open Sans" w:cs="Open Sans"/>
          <w:color w:val="000000"/>
        </w:rPr>
      </w:pPr>
      <w:r w:rsidRPr="00116FF5">
        <w:rPr>
          <w:rFonts w:ascii="Open Sans" w:hAnsi="Open Sans" w:cs="Open Sans"/>
          <w:color w:val="000000"/>
        </w:rPr>
        <w:t xml:space="preserve">Students need more practice than they get during class time to improve their reading ability. Reading independently is the most powerful way to increase both vocabulary and reading fluency. Instructors should encourage independent reading by providing recommendations for texts related to what is being studied in class or high-interest texts on general topics. </w:t>
      </w:r>
    </w:p>
    <w:p w14:paraId="4F545ECD" w14:textId="77777777" w:rsidR="00DC7BD0" w:rsidRPr="00E771B0" w:rsidRDefault="00DC7BD0">
      <w:pPr>
        <w:pBdr>
          <w:top w:val="nil"/>
          <w:left w:val="nil"/>
          <w:bottom w:val="nil"/>
          <w:right w:val="nil"/>
          <w:between w:val="nil"/>
        </w:pBdr>
        <w:spacing w:after="0" w:line="240" w:lineRule="auto"/>
        <w:rPr>
          <w:rFonts w:ascii="Open Sans" w:hAnsi="Open Sans" w:cs="Open Sans"/>
          <w:color w:val="000000"/>
          <w:sz w:val="16"/>
        </w:rPr>
      </w:pPr>
    </w:p>
    <w:p w14:paraId="72C5BC5B" w14:textId="77777777" w:rsidR="00DC7BD0" w:rsidRPr="0067320D" w:rsidRDefault="00873C63">
      <w:pPr>
        <w:pBdr>
          <w:top w:val="nil"/>
          <w:left w:val="nil"/>
          <w:bottom w:val="nil"/>
          <w:right w:val="nil"/>
          <w:between w:val="nil"/>
        </w:pBdr>
        <w:spacing w:after="10" w:line="240" w:lineRule="auto"/>
        <w:rPr>
          <w:rFonts w:ascii="Open Sans" w:hAnsi="Open Sans" w:cs="Open Sans"/>
          <w:b/>
          <w:color w:val="000000"/>
          <w:sz w:val="24"/>
        </w:rPr>
      </w:pPr>
      <w:r w:rsidRPr="0067320D">
        <w:rPr>
          <w:rFonts w:ascii="Open Sans" w:hAnsi="Open Sans" w:cs="Open Sans"/>
          <w:b/>
          <w:color w:val="000000"/>
          <w:sz w:val="24"/>
        </w:rPr>
        <w:t xml:space="preserve">General </w:t>
      </w:r>
      <w:r w:rsidR="00116FF5" w:rsidRPr="0067320D">
        <w:rPr>
          <w:rFonts w:ascii="Open Sans" w:hAnsi="Open Sans" w:cs="Open Sans"/>
          <w:b/>
          <w:color w:val="000000"/>
          <w:sz w:val="24"/>
        </w:rPr>
        <w:t>t</w:t>
      </w:r>
      <w:r w:rsidRPr="0067320D">
        <w:rPr>
          <w:rFonts w:ascii="Open Sans" w:hAnsi="Open Sans" w:cs="Open Sans"/>
          <w:b/>
          <w:color w:val="000000"/>
          <w:sz w:val="24"/>
        </w:rPr>
        <w:t xml:space="preserve">ips on </w:t>
      </w:r>
      <w:r w:rsidR="00116FF5" w:rsidRPr="0067320D">
        <w:rPr>
          <w:rFonts w:ascii="Open Sans" w:hAnsi="Open Sans" w:cs="Open Sans"/>
          <w:b/>
          <w:color w:val="000000"/>
          <w:sz w:val="24"/>
        </w:rPr>
        <w:t>f</w:t>
      </w:r>
      <w:r w:rsidRPr="0067320D">
        <w:rPr>
          <w:rFonts w:ascii="Open Sans" w:hAnsi="Open Sans" w:cs="Open Sans"/>
          <w:b/>
          <w:color w:val="000000"/>
          <w:sz w:val="24"/>
        </w:rPr>
        <w:t xml:space="preserve">inding and </w:t>
      </w:r>
      <w:r w:rsidR="00116FF5" w:rsidRPr="0067320D">
        <w:rPr>
          <w:rFonts w:ascii="Open Sans" w:hAnsi="Open Sans" w:cs="Open Sans"/>
          <w:b/>
          <w:color w:val="000000"/>
          <w:sz w:val="24"/>
        </w:rPr>
        <w:t>s</w:t>
      </w:r>
      <w:r w:rsidRPr="0067320D">
        <w:rPr>
          <w:rFonts w:ascii="Open Sans" w:hAnsi="Open Sans" w:cs="Open Sans"/>
          <w:b/>
          <w:color w:val="000000"/>
          <w:sz w:val="24"/>
        </w:rPr>
        <w:t xml:space="preserve">electing </w:t>
      </w:r>
      <w:r w:rsidR="00116FF5" w:rsidRPr="0067320D">
        <w:rPr>
          <w:rFonts w:ascii="Open Sans" w:hAnsi="Open Sans" w:cs="Open Sans"/>
          <w:b/>
          <w:color w:val="000000"/>
          <w:sz w:val="24"/>
        </w:rPr>
        <w:t>a</w:t>
      </w:r>
      <w:r w:rsidRPr="0067320D">
        <w:rPr>
          <w:rFonts w:ascii="Open Sans" w:hAnsi="Open Sans" w:cs="Open Sans"/>
          <w:b/>
          <w:color w:val="000000"/>
          <w:sz w:val="24"/>
        </w:rPr>
        <w:t xml:space="preserve">dditional </w:t>
      </w:r>
      <w:r w:rsidR="00116FF5" w:rsidRPr="0067320D">
        <w:rPr>
          <w:rFonts w:ascii="Open Sans" w:hAnsi="Open Sans" w:cs="Open Sans"/>
          <w:b/>
          <w:color w:val="000000"/>
          <w:sz w:val="24"/>
        </w:rPr>
        <w:t>t</w:t>
      </w:r>
      <w:r w:rsidRPr="0067320D">
        <w:rPr>
          <w:rFonts w:ascii="Open Sans" w:hAnsi="Open Sans" w:cs="Open Sans"/>
          <w:b/>
          <w:color w:val="000000"/>
          <w:sz w:val="24"/>
        </w:rPr>
        <w:t xml:space="preserve">exts </w:t>
      </w:r>
    </w:p>
    <w:p w14:paraId="26D7DFC1" w14:textId="77777777" w:rsidR="00DC7BD0" w:rsidRPr="00116FF5" w:rsidRDefault="00873C63">
      <w:pPr>
        <w:numPr>
          <w:ilvl w:val="0"/>
          <w:numId w:val="1"/>
        </w:numPr>
        <w:pBdr>
          <w:top w:val="nil"/>
          <w:left w:val="nil"/>
          <w:bottom w:val="nil"/>
          <w:right w:val="nil"/>
          <w:between w:val="nil"/>
        </w:pBdr>
        <w:spacing w:after="10" w:line="240" w:lineRule="auto"/>
        <w:rPr>
          <w:rFonts w:ascii="Open Sans" w:hAnsi="Open Sans" w:cs="Open Sans"/>
          <w:color w:val="000000"/>
        </w:rPr>
      </w:pPr>
      <w:r w:rsidRPr="00116FF5">
        <w:rPr>
          <w:rFonts w:ascii="Open Sans" w:hAnsi="Open Sans" w:cs="Open Sans"/>
          <w:color w:val="000000"/>
        </w:rPr>
        <w:t xml:space="preserve">Consider materials that are available in print and digital formats. </w:t>
      </w:r>
    </w:p>
    <w:p w14:paraId="42AFA9C8" w14:textId="77777777" w:rsidR="00DC7BD0" w:rsidRPr="00116FF5" w:rsidRDefault="00873C63">
      <w:pPr>
        <w:numPr>
          <w:ilvl w:val="0"/>
          <w:numId w:val="1"/>
        </w:numPr>
        <w:pBdr>
          <w:top w:val="nil"/>
          <w:left w:val="nil"/>
          <w:bottom w:val="nil"/>
          <w:right w:val="nil"/>
          <w:between w:val="nil"/>
        </w:pBdr>
        <w:spacing w:after="10" w:line="240" w:lineRule="auto"/>
        <w:rPr>
          <w:rFonts w:ascii="Open Sans" w:hAnsi="Open Sans" w:cs="Open Sans"/>
          <w:color w:val="000000"/>
        </w:rPr>
      </w:pPr>
      <w:r w:rsidRPr="00116FF5">
        <w:rPr>
          <w:rFonts w:ascii="Open Sans" w:hAnsi="Open Sans" w:cs="Open Sans"/>
          <w:color w:val="000000"/>
        </w:rPr>
        <w:t xml:space="preserve">Book excerpts can serve as short texts. </w:t>
      </w:r>
    </w:p>
    <w:p w14:paraId="6811401C" w14:textId="77777777" w:rsidR="00DC7BD0" w:rsidRPr="00116FF5" w:rsidRDefault="00873C63">
      <w:pPr>
        <w:numPr>
          <w:ilvl w:val="0"/>
          <w:numId w:val="1"/>
        </w:numPr>
        <w:pBdr>
          <w:top w:val="nil"/>
          <w:left w:val="nil"/>
          <w:bottom w:val="nil"/>
          <w:right w:val="nil"/>
          <w:between w:val="nil"/>
        </w:pBdr>
        <w:spacing w:after="10" w:line="240" w:lineRule="auto"/>
        <w:rPr>
          <w:rFonts w:ascii="Open Sans" w:hAnsi="Open Sans" w:cs="Open Sans"/>
          <w:color w:val="000000"/>
        </w:rPr>
      </w:pPr>
      <w:r w:rsidRPr="00116FF5">
        <w:rPr>
          <w:rFonts w:ascii="Open Sans" w:hAnsi="Open Sans" w:cs="Open Sans"/>
          <w:color w:val="000000"/>
        </w:rPr>
        <w:t xml:space="preserve">Primary documents, videos, graphics, charts, and photos can enhance your collection and engage your students. </w:t>
      </w:r>
    </w:p>
    <w:p w14:paraId="78D565EF" w14:textId="77777777" w:rsidR="00DC7BD0" w:rsidRPr="00116FF5" w:rsidRDefault="00873C63">
      <w:pPr>
        <w:numPr>
          <w:ilvl w:val="0"/>
          <w:numId w:val="1"/>
        </w:numPr>
        <w:pBdr>
          <w:top w:val="nil"/>
          <w:left w:val="nil"/>
          <w:bottom w:val="nil"/>
          <w:right w:val="nil"/>
          <w:between w:val="nil"/>
        </w:pBdr>
        <w:spacing w:after="10" w:line="240" w:lineRule="auto"/>
        <w:rPr>
          <w:rFonts w:ascii="Open Sans" w:hAnsi="Open Sans" w:cs="Open Sans"/>
          <w:color w:val="000000"/>
        </w:rPr>
      </w:pPr>
      <w:r w:rsidRPr="00116FF5">
        <w:rPr>
          <w:rFonts w:ascii="Open Sans" w:hAnsi="Open Sans" w:cs="Open Sans"/>
          <w:color w:val="000000"/>
        </w:rPr>
        <w:t xml:space="preserve">Consider the complexity, quality, and relevance of each suggested text or resource. </w:t>
      </w:r>
    </w:p>
    <w:p w14:paraId="2DB47404" w14:textId="77777777" w:rsidR="00DC7BD0" w:rsidRPr="00E771B0" w:rsidRDefault="00DC7BD0">
      <w:pPr>
        <w:pBdr>
          <w:top w:val="nil"/>
          <w:left w:val="nil"/>
          <w:bottom w:val="nil"/>
          <w:right w:val="nil"/>
          <w:between w:val="nil"/>
        </w:pBdr>
        <w:spacing w:after="0" w:line="240" w:lineRule="auto"/>
        <w:rPr>
          <w:rFonts w:ascii="Open Sans" w:hAnsi="Open Sans" w:cs="Open Sans"/>
          <w:color w:val="000000"/>
          <w:sz w:val="16"/>
        </w:rPr>
      </w:pPr>
    </w:p>
    <w:p w14:paraId="7ED39065" w14:textId="77777777" w:rsidR="00116FF5" w:rsidRPr="0067320D" w:rsidRDefault="00873C63" w:rsidP="008718D6">
      <w:pPr>
        <w:spacing w:after="0"/>
        <w:rPr>
          <w:rFonts w:ascii="Open Sans" w:hAnsi="Open Sans" w:cs="Open Sans"/>
          <w:b/>
          <w:sz w:val="24"/>
        </w:rPr>
      </w:pPr>
      <w:r w:rsidRPr="0067320D">
        <w:rPr>
          <w:rFonts w:ascii="Open Sans" w:hAnsi="Open Sans" w:cs="Open Sans"/>
          <w:b/>
          <w:sz w:val="24"/>
        </w:rPr>
        <w:t xml:space="preserve">Resources for </w:t>
      </w:r>
      <w:r w:rsidR="00116FF5" w:rsidRPr="0067320D">
        <w:rPr>
          <w:rFonts w:ascii="Open Sans" w:hAnsi="Open Sans" w:cs="Open Sans"/>
          <w:b/>
          <w:sz w:val="24"/>
        </w:rPr>
        <w:t>a</w:t>
      </w:r>
      <w:r w:rsidRPr="0067320D">
        <w:rPr>
          <w:rFonts w:ascii="Open Sans" w:hAnsi="Open Sans" w:cs="Open Sans"/>
          <w:b/>
          <w:sz w:val="24"/>
        </w:rPr>
        <w:t xml:space="preserve">dditional </w:t>
      </w:r>
      <w:r w:rsidR="00116FF5" w:rsidRPr="0067320D">
        <w:rPr>
          <w:rFonts w:ascii="Open Sans" w:hAnsi="Open Sans" w:cs="Open Sans"/>
          <w:b/>
          <w:sz w:val="24"/>
        </w:rPr>
        <w:t>r</w:t>
      </w:r>
      <w:r w:rsidRPr="0067320D">
        <w:rPr>
          <w:rFonts w:ascii="Open Sans" w:hAnsi="Open Sans" w:cs="Open Sans"/>
          <w:b/>
          <w:sz w:val="24"/>
        </w:rPr>
        <w:t>eading</w:t>
      </w:r>
    </w:p>
    <w:p w14:paraId="155775D2" w14:textId="77777777" w:rsidR="00DC7BD0" w:rsidRPr="00116FF5" w:rsidRDefault="00873C63" w:rsidP="008718D6">
      <w:pPr>
        <w:spacing w:after="0"/>
        <w:rPr>
          <w:rFonts w:ascii="Open Sans" w:hAnsi="Open Sans" w:cs="Open Sans"/>
          <w:b/>
        </w:rPr>
      </w:pPr>
      <w:r w:rsidRPr="00116FF5">
        <w:rPr>
          <w:rFonts w:ascii="Open Sans" w:hAnsi="Open Sans" w:cs="Open Sans"/>
        </w:rPr>
        <w:t>Your program’s supplemental distance learning resource(s) can be an excellent source of additional texts.</w:t>
      </w:r>
    </w:p>
    <w:p w14:paraId="574FA7F8" w14:textId="77777777" w:rsidR="00DC7BD0" w:rsidRPr="00116FF5" w:rsidRDefault="00873C63">
      <w:pPr>
        <w:rPr>
          <w:rFonts w:ascii="Open Sans" w:hAnsi="Open Sans" w:cs="Open Sans"/>
        </w:rPr>
      </w:pPr>
      <w:r w:rsidRPr="00116FF5">
        <w:rPr>
          <w:rFonts w:ascii="Open Sans" w:hAnsi="Open Sans" w:cs="Open Sans"/>
        </w:rPr>
        <w:t>Many instructors use local or national news sources (newspaper, television, or radio) successfully. This can require some preparation. For example, you may need to provide scaffolding to help learners understand the structure or vocabulary in an article. It can be useful to look for articles with audio or video components.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111"/>
        <w:gridCol w:w="1431"/>
        <w:gridCol w:w="1431"/>
        <w:gridCol w:w="1431"/>
        <w:gridCol w:w="1432"/>
        <w:gridCol w:w="1954"/>
      </w:tblGrid>
      <w:tr w:rsidR="00DC7BD0" w:rsidRPr="00116FF5" w14:paraId="1BDE9A68" w14:textId="77777777" w:rsidTr="00E771B0">
        <w:tc>
          <w:tcPr>
            <w:tcW w:w="1051" w:type="pct"/>
            <w:shd w:val="clear" w:color="auto" w:fill="004E89" w:themeFill="accent1"/>
            <w:vAlign w:val="center"/>
          </w:tcPr>
          <w:p w14:paraId="25EBB527" w14:textId="77777777" w:rsidR="00DC7BD0" w:rsidRPr="00B4151E" w:rsidRDefault="00B4151E" w:rsidP="00B4151E">
            <w:pPr>
              <w:jc w:val="center"/>
              <w:rPr>
                <w:rFonts w:ascii="Open Sans" w:hAnsi="Open Sans" w:cs="Open Sans"/>
                <w:b/>
                <w:color w:val="FFFFFF" w:themeColor="background1"/>
              </w:rPr>
            </w:pPr>
            <w:r w:rsidRPr="00B4151E">
              <w:rPr>
                <w:rFonts w:ascii="Open Sans" w:hAnsi="Open Sans" w:cs="Open Sans"/>
                <w:b/>
                <w:color w:val="FFFFFF" w:themeColor="background1"/>
              </w:rPr>
              <w:t>Resource title</w:t>
            </w:r>
          </w:p>
        </w:tc>
        <w:tc>
          <w:tcPr>
            <w:tcW w:w="746" w:type="pct"/>
            <w:shd w:val="clear" w:color="auto" w:fill="004E89" w:themeFill="accent1"/>
            <w:vAlign w:val="center"/>
          </w:tcPr>
          <w:p w14:paraId="5E916DC3" w14:textId="77777777" w:rsidR="00DC7BD0" w:rsidRPr="00B4151E" w:rsidRDefault="00873C63" w:rsidP="00B4151E">
            <w:pPr>
              <w:jc w:val="center"/>
              <w:rPr>
                <w:rFonts w:ascii="Open Sans" w:hAnsi="Open Sans" w:cs="Open Sans"/>
                <w:b/>
                <w:color w:val="FFFFFF" w:themeColor="background1"/>
              </w:rPr>
            </w:pPr>
            <w:r w:rsidRPr="00B4151E">
              <w:rPr>
                <w:rFonts w:ascii="Open Sans" w:hAnsi="Open Sans" w:cs="Open Sans"/>
                <w:b/>
                <w:color w:val="FFFFFF" w:themeColor="background1"/>
              </w:rPr>
              <w:t>Free login required</w:t>
            </w:r>
          </w:p>
        </w:tc>
        <w:tc>
          <w:tcPr>
            <w:tcW w:w="746" w:type="pct"/>
            <w:shd w:val="clear" w:color="auto" w:fill="004E89" w:themeFill="accent1"/>
            <w:vAlign w:val="center"/>
          </w:tcPr>
          <w:p w14:paraId="0C2CAE74" w14:textId="77777777" w:rsidR="00DC7BD0" w:rsidRPr="00B4151E" w:rsidRDefault="00873C63" w:rsidP="00B4151E">
            <w:pPr>
              <w:jc w:val="center"/>
              <w:rPr>
                <w:rFonts w:ascii="Open Sans" w:hAnsi="Open Sans" w:cs="Open Sans"/>
                <w:b/>
                <w:color w:val="FFFFFF" w:themeColor="background1"/>
              </w:rPr>
            </w:pPr>
            <w:r w:rsidRPr="00B4151E">
              <w:rPr>
                <w:rFonts w:ascii="Open Sans" w:hAnsi="Open Sans" w:cs="Open Sans"/>
                <w:b/>
                <w:color w:val="FFFFFF" w:themeColor="background1"/>
              </w:rPr>
              <w:t>Individual texts available at multiple levels</w:t>
            </w:r>
          </w:p>
        </w:tc>
        <w:tc>
          <w:tcPr>
            <w:tcW w:w="746" w:type="pct"/>
            <w:shd w:val="clear" w:color="auto" w:fill="004E89" w:themeFill="accent1"/>
            <w:vAlign w:val="center"/>
          </w:tcPr>
          <w:p w14:paraId="292D5F19" w14:textId="77777777" w:rsidR="00DC7BD0" w:rsidRPr="00B4151E" w:rsidRDefault="00873C63" w:rsidP="00B4151E">
            <w:pPr>
              <w:jc w:val="center"/>
              <w:rPr>
                <w:rFonts w:ascii="Open Sans" w:hAnsi="Open Sans" w:cs="Open Sans"/>
                <w:b/>
                <w:color w:val="FFFFFF" w:themeColor="background1"/>
              </w:rPr>
            </w:pPr>
            <w:r w:rsidRPr="00B4151E">
              <w:rPr>
                <w:rFonts w:ascii="Open Sans" w:hAnsi="Open Sans" w:cs="Open Sans"/>
                <w:b/>
                <w:color w:val="FFFFFF" w:themeColor="background1"/>
              </w:rPr>
              <w:t>Indicated grade levels of texts (GL)</w:t>
            </w:r>
          </w:p>
        </w:tc>
        <w:tc>
          <w:tcPr>
            <w:tcW w:w="746" w:type="pct"/>
            <w:shd w:val="clear" w:color="auto" w:fill="004E89" w:themeFill="accent1"/>
            <w:vAlign w:val="center"/>
          </w:tcPr>
          <w:p w14:paraId="4CA61C72" w14:textId="77777777" w:rsidR="00DC7BD0" w:rsidRPr="00B4151E" w:rsidRDefault="00873C63" w:rsidP="00B4151E">
            <w:pPr>
              <w:jc w:val="center"/>
              <w:rPr>
                <w:rFonts w:ascii="Open Sans" w:hAnsi="Open Sans" w:cs="Open Sans"/>
                <w:b/>
                <w:color w:val="FFFFFF" w:themeColor="background1"/>
              </w:rPr>
            </w:pPr>
            <w:r w:rsidRPr="00B4151E">
              <w:rPr>
                <w:rFonts w:ascii="Open Sans" w:hAnsi="Open Sans" w:cs="Open Sans"/>
                <w:b/>
                <w:color w:val="FFFFFF" w:themeColor="background1"/>
              </w:rPr>
              <w:t>Read-aloud option</w:t>
            </w:r>
          </w:p>
        </w:tc>
        <w:tc>
          <w:tcPr>
            <w:tcW w:w="965" w:type="pct"/>
            <w:shd w:val="clear" w:color="auto" w:fill="004E89" w:themeFill="accent1"/>
            <w:vAlign w:val="center"/>
          </w:tcPr>
          <w:p w14:paraId="1B9E1D81" w14:textId="77777777" w:rsidR="00DC7BD0" w:rsidRPr="00B4151E" w:rsidRDefault="00873C63" w:rsidP="00B4151E">
            <w:pPr>
              <w:jc w:val="center"/>
              <w:rPr>
                <w:rFonts w:ascii="Open Sans" w:hAnsi="Open Sans" w:cs="Open Sans"/>
                <w:b/>
                <w:color w:val="FFFFFF" w:themeColor="background1"/>
              </w:rPr>
            </w:pPr>
            <w:r w:rsidRPr="00B4151E">
              <w:rPr>
                <w:rFonts w:ascii="Open Sans" w:hAnsi="Open Sans" w:cs="Open Sans"/>
                <w:b/>
                <w:color w:val="FFFFFF" w:themeColor="background1"/>
              </w:rPr>
              <w:t>Comprehension questions included</w:t>
            </w:r>
          </w:p>
        </w:tc>
      </w:tr>
      <w:tr w:rsidR="00DC7BD0" w:rsidRPr="00116FF5" w14:paraId="66F4AE3C" w14:textId="77777777" w:rsidTr="00E771B0">
        <w:tc>
          <w:tcPr>
            <w:tcW w:w="1051" w:type="pct"/>
          </w:tcPr>
          <w:p w14:paraId="45D658A1" w14:textId="77777777" w:rsidR="00DC7BD0" w:rsidRPr="00116FF5" w:rsidRDefault="00873C63">
            <w:pPr>
              <w:rPr>
                <w:rFonts w:ascii="Open Sans" w:hAnsi="Open Sans" w:cs="Open Sans"/>
              </w:rPr>
            </w:pPr>
            <w:r w:rsidRPr="00116FF5">
              <w:rPr>
                <w:rFonts w:ascii="Open Sans" w:hAnsi="Open Sans" w:cs="Open Sans"/>
              </w:rPr>
              <w:t>Newsela.com</w:t>
            </w:r>
          </w:p>
        </w:tc>
        <w:tc>
          <w:tcPr>
            <w:tcW w:w="746" w:type="pct"/>
          </w:tcPr>
          <w:p w14:paraId="4B12F1F4" w14:textId="77777777" w:rsidR="00DC7BD0" w:rsidRPr="00116FF5" w:rsidRDefault="0076074F" w:rsidP="0076074F">
            <w:pPr>
              <w:jc w:val="center"/>
              <w:rPr>
                <w:rFonts w:ascii="Open Sans" w:hAnsi="Open Sans" w:cs="Open Sans"/>
              </w:rPr>
            </w:pPr>
            <w:r w:rsidRPr="00116FF5">
              <w:rPr>
                <w:rFonts w:ascii="Open Sans" w:hAnsi="Open Sans" w:cs="Open Sans"/>
              </w:rPr>
              <w:t>Yes</w:t>
            </w:r>
          </w:p>
        </w:tc>
        <w:tc>
          <w:tcPr>
            <w:tcW w:w="746" w:type="pct"/>
          </w:tcPr>
          <w:p w14:paraId="30D8F2D6" w14:textId="77777777" w:rsidR="00DC7BD0" w:rsidRPr="00116FF5" w:rsidRDefault="0076074F" w:rsidP="0076074F">
            <w:pPr>
              <w:jc w:val="center"/>
              <w:rPr>
                <w:rFonts w:ascii="Open Sans" w:hAnsi="Open Sans" w:cs="Open Sans"/>
              </w:rPr>
            </w:pPr>
            <w:r w:rsidRPr="00116FF5">
              <w:rPr>
                <w:rFonts w:ascii="Open Sans" w:hAnsi="Open Sans" w:cs="Open Sans"/>
              </w:rPr>
              <w:t>Yes</w:t>
            </w:r>
          </w:p>
        </w:tc>
        <w:tc>
          <w:tcPr>
            <w:tcW w:w="746" w:type="pct"/>
          </w:tcPr>
          <w:p w14:paraId="0DE8C361" w14:textId="77777777" w:rsidR="00DC7BD0" w:rsidRPr="00116FF5" w:rsidRDefault="0076074F" w:rsidP="0076074F">
            <w:pPr>
              <w:jc w:val="center"/>
              <w:rPr>
                <w:rFonts w:ascii="Open Sans" w:hAnsi="Open Sans" w:cs="Open Sans"/>
              </w:rPr>
            </w:pPr>
            <w:r w:rsidRPr="00116FF5">
              <w:rPr>
                <w:rFonts w:ascii="Open Sans" w:hAnsi="Open Sans" w:cs="Open Sans"/>
              </w:rPr>
              <w:t>Yes (3-12)</w:t>
            </w:r>
          </w:p>
        </w:tc>
        <w:tc>
          <w:tcPr>
            <w:tcW w:w="746" w:type="pct"/>
          </w:tcPr>
          <w:p w14:paraId="359C063A" w14:textId="77777777" w:rsidR="00DC7BD0" w:rsidRPr="00116FF5" w:rsidRDefault="0076074F" w:rsidP="0076074F">
            <w:pPr>
              <w:jc w:val="center"/>
              <w:rPr>
                <w:rFonts w:ascii="Open Sans" w:hAnsi="Open Sans" w:cs="Open Sans"/>
              </w:rPr>
            </w:pPr>
            <w:r w:rsidRPr="00116FF5">
              <w:rPr>
                <w:rFonts w:ascii="Open Sans" w:hAnsi="Open Sans" w:cs="Open Sans"/>
              </w:rPr>
              <w:t>Yes</w:t>
            </w:r>
          </w:p>
        </w:tc>
        <w:tc>
          <w:tcPr>
            <w:tcW w:w="965" w:type="pct"/>
          </w:tcPr>
          <w:p w14:paraId="3DA7BC6E" w14:textId="77777777" w:rsidR="00DC7BD0" w:rsidRPr="00116FF5" w:rsidRDefault="0076074F" w:rsidP="0076074F">
            <w:pPr>
              <w:jc w:val="center"/>
              <w:rPr>
                <w:rFonts w:ascii="Open Sans" w:hAnsi="Open Sans" w:cs="Open Sans"/>
              </w:rPr>
            </w:pPr>
            <w:r w:rsidRPr="00116FF5">
              <w:rPr>
                <w:rFonts w:ascii="Open Sans" w:hAnsi="Open Sans" w:cs="Open Sans"/>
              </w:rPr>
              <w:t>Yes</w:t>
            </w:r>
          </w:p>
        </w:tc>
      </w:tr>
      <w:tr w:rsidR="00DC7BD0" w:rsidRPr="00116FF5" w14:paraId="700AD3E3" w14:textId="77777777" w:rsidTr="00E771B0">
        <w:tc>
          <w:tcPr>
            <w:tcW w:w="1051" w:type="pct"/>
          </w:tcPr>
          <w:p w14:paraId="53CD31AD" w14:textId="77777777" w:rsidR="00DC7BD0" w:rsidRPr="00116FF5" w:rsidRDefault="00873C63">
            <w:pPr>
              <w:rPr>
                <w:rFonts w:ascii="Open Sans" w:hAnsi="Open Sans" w:cs="Open Sans"/>
              </w:rPr>
            </w:pPr>
            <w:r w:rsidRPr="00116FF5">
              <w:rPr>
                <w:rFonts w:ascii="Open Sans" w:hAnsi="Open Sans" w:cs="Open Sans"/>
              </w:rPr>
              <w:t>CommonLit.org</w:t>
            </w:r>
          </w:p>
        </w:tc>
        <w:tc>
          <w:tcPr>
            <w:tcW w:w="746" w:type="pct"/>
          </w:tcPr>
          <w:p w14:paraId="01F799AF" w14:textId="77777777" w:rsidR="00DC7BD0" w:rsidRPr="00116FF5" w:rsidRDefault="0076074F" w:rsidP="0076074F">
            <w:pPr>
              <w:jc w:val="center"/>
              <w:rPr>
                <w:rFonts w:ascii="Open Sans" w:hAnsi="Open Sans" w:cs="Open Sans"/>
              </w:rPr>
            </w:pPr>
            <w:r w:rsidRPr="00116FF5">
              <w:rPr>
                <w:rFonts w:ascii="Open Sans" w:hAnsi="Open Sans" w:cs="Open Sans"/>
              </w:rPr>
              <w:t>Yes</w:t>
            </w:r>
          </w:p>
        </w:tc>
        <w:tc>
          <w:tcPr>
            <w:tcW w:w="746" w:type="pct"/>
          </w:tcPr>
          <w:p w14:paraId="12CF8E44" w14:textId="77777777" w:rsidR="00DC7BD0" w:rsidRPr="00116FF5" w:rsidRDefault="0076074F" w:rsidP="0076074F">
            <w:pPr>
              <w:jc w:val="center"/>
              <w:rPr>
                <w:rFonts w:ascii="Open Sans" w:hAnsi="Open Sans" w:cs="Open Sans"/>
              </w:rPr>
            </w:pPr>
            <w:r w:rsidRPr="00116FF5">
              <w:rPr>
                <w:rFonts w:ascii="Open Sans" w:hAnsi="Open Sans" w:cs="Open Sans"/>
              </w:rPr>
              <w:t>No</w:t>
            </w:r>
          </w:p>
        </w:tc>
        <w:tc>
          <w:tcPr>
            <w:tcW w:w="746" w:type="pct"/>
          </w:tcPr>
          <w:p w14:paraId="3F918951" w14:textId="77777777" w:rsidR="00DC7BD0" w:rsidRPr="00116FF5" w:rsidRDefault="0076074F" w:rsidP="0076074F">
            <w:pPr>
              <w:jc w:val="center"/>
              <w:rPr>
                <w:rFonts w:ascii="Open Sans" w:hAnsi="Open Sans" w:cs="Open Sans"/>
              </w:rPr>
            </w:pPr>
            <w:r w:rsidRPr="00116FF5">
              <w:rPr>
                <w:rFonts w:ascii="Open Sans" w:hAnsi="Open Sans" w:cs="Open Sans"/>
              </w:rPr>
              <w:t>Yes (3-12)</w:t>
            </w:r>
          </w:p>
        </w:tc>
        <w:tc>
          <w:tcPr>
            <w:tcW w:w="746" w:type="pct"/>
          </w:tcPr>
          <w:p w14:paraId="4D4DC543" w14:textId="77777777" w:rsidR="00DC7BD0" w:rsidRPr="00116FF5" w:rsidRDefault="0076074F" w:rsidP="0076074F">
            <w:pPr>
              <w:jc w:val="center"/>
              <w:rPr>
                <w:rFonts w:ascii="Open Sans" w:hAnsi="Open Sans" w:cs="Open Sans"/>
              </w:rPr>
            </w:pPr>
            <w:r w:rsidRPr="00116FF5">
              <w:rPr>
                <w:rFonts w:ascii="Open Sans" w:hAnsi="Open Sans" w:cs="Open Sans"/>
              </w:rPr>
              <w:t>Yes</w:t>
            </w:r>
          </w:p>
        </w:tc>
        <w:tc>
          <w:tcPr>
            <w:tcW w:w="965" w:type="pct"/>
          </w:tcPr>
          <w:p w14:paraId="3B957734" w14:textId="77777777" w:rsidR="00DC7BD0" w:rsidRPr="00116FF5" w:rsidRDefault="0076074F" w:rsidP="0076074F">
            <w:pPr>
              <w:jc w:val="center"/>
              <w:rPr>
                <w:rFonts w:ascii="Open Sans" w:hAnsi="Open Sans" w:cs="Open Sans"/>
              </w:rPr>
            </w:pPr>
            <w:r w:rsidRPr="00116FF5">
              <w:rPr>
                <w:rFonts w:ascii="Open Sans" w:hAnsi="Open Sans" w:cs="Open Sans"/>
              </w:rPr>
              <w:t>Yes</w:t>
            </w:r>
          </w:p>
        </w:tc>
      </w:tr>
      <w:tr w:rsidR="00DC7BD0" w:rsidRPr="00116FF5" w14:paraId="62B282F8" w14:textId="77777777" w:rsidTr="00E771B0">
        <w:tc>
          <w:tcPr>
            <w:tcW w:w="1051" w:type="pct"/>
          </w:tcPr>
          <w:p w14:paraId="6A6FAF09" w14:textId="77777777" w:rsidR="00DC7BD0" w:rsidRPr="00116FF5" w:rsidRDefault="00873C63">
            <w:pPr>
              <w:rPr>
                <w:rFonts w:ascii="Open Sans" w:hAnsi="Open Sans" w:cs="Open Sans"/>
              </w:rPr>
            </w:pPr>
            <w:r w:rsidRPr="00116FF5">
              <w:rPr>
                <w:rFonts w:ascii="Open Sans" w:hAnsi="Open Sans" w:cs="Open Sans"/>
              </w:rPr>
              <w:t>ReadWorks.org</w:t>
            </w:r>
          </w:p>
        </w:tc>
        <w:tc>
          <w:tcPr>
            <w:tcW w:w="746" w:type="pct"/>
          </w:tcPr>
          <w:p w14:paraId="599AEAF9" w14:textId="77777777" w:rsidR="00DC7BD0" w:rsidRPr="00116FF5" w:rsidRDefault="0076074F" w:rsidP="0076074F">
            <w:pPr>
              <w:jc w:val="center"/>
              <w:rPr>
                <w:rFonts w:ascii="Open Sans" w:hAnsi="Open Sans" w:cs="Open Sans"/>
              </w:rPr>
            </w:pPr>
            <w:r w:rsidRPr="00116FF5">
              <w:rPr>
                <w:rFonts w:ascii="Open Sans" w:hAnsi="Open Sans" w:cs="Open Sans"/>
              </w:rPr>
              <w:t>Yes</w:t>
            </w:r>
          </w:p>
        </w:tc>
        <w:tc>
          <w:tcPr>
            <w:tcW w:w="746" w:type="pct"/>
          </w:tcPr>
          <w:p w14:paraId="27353238" w14:textId="77777777" w:rsidR="00DC7BD0" w:rsidRPr="00116FF5" w:rsidRDefault="0076074F" w:rsidP="0076074F">
            <w:pPr>
              <w:jc w:val="center"/>
              <w:rPr>
                <w:rFonts w:ascii="Open Sans" w:hAnsi="Open Sans" w:cs="Open Sans"/>
              </w:rPr>
            </w:pPr>
            <w:r w:rsidRPr="00116FF5">
              <w:rPr>
                <w:rFonts w:ascii="Open Sans" w:hAnsi="Open Sans" w:cs="Open Sans"/>
              </w:rPr>
              <w:t>Some</w:t>
            </w:r>
          </w:p>
        </w:tc>
        <w:tc>
          <w:tcPr>
            <w:tcW w:w="746" w:type="pct"/>
          </w:tcPr>
          <w:p w14:paraId="3ED44711" w14:textId="77777777" w:rsidR="00DC7BD0" w:rsidRPr="00116FF5" w:rsidRDefault="0076074F" w:rsidP="0076074F">
            <w:pPr>
              <w:jc w:val="center"/>
              <w:rPr>
                <w:rFonts w:ascii="Open Sans" w:hAnsi="Open Sans" w:cs="Open Sans"/>
              </w:rPr>
            </w:pPr>
            <w:r w:rsidRPr="00116FF5">
              <w:rPr>
                <w:rFonts w:ascii="Open Sans" w:hAnsi="Open Sans" w:cs="Open Sans"/>
              </w:rPr>
              <w:t>Yes (k-12)</w:t>
            </w:r>
          </w:p>
        </w:tc>
        <w:tc>
          <w:tcPr>
            <w:tcW w:w="746" w:type="pct"/>
          </w:tcPr>
          <w:p w14:paraId="70B71DE8" w14:textId="77777777" w:rsidR="00DC7BD0" w:rsidRPr="00116FF5" w:rsidRDefault="0076074F" w:rsidP="0076074F">
            <w:pPr>
              <w:jc w:val="center"/>
              <w:rPr>
                <w:rFonts w:ascii="Open Sans" w:hAnsi="Open Sans" w:cs="Open Sans"/>
              </w:rPr>
            </w:pPr>
            <w:r w:rsidRPr="00116FF5">
              <w:rPr>
                <w:rFonts w:ascii="Open Sans" w:hAnsi="Open Sans" w:cs="Open Sans"/>
              </w:rPr>
              <w:t>Yes</w:t>
            </w:r>
          </w:p>
        </w:tc>
        <w:tc>
          <w:tcPr>
            <w:tcW w:w="965" w:type="pct"/>
          </w:tcPr>
          <w:p w14:paraId="3C03391B" w14:textId="77777777" w:rsidR="00DC7BD0" w:rsidRPr="00116FF5" w:rsidRDefault="0076074F" w:rsidP="0076074F">
            <w:pPr>
              <w:jc w:val="center"/>
              <w:rPr>
                <w:rFonts w:ascii="Open Sans" w:hAnsi="Open Sans" w:cs="Open Sans"/>
              </w:rPr>
            </w:pPr>
            <w:r w:rsidRPr="00116FF5">
              <w:rPr>
                <w:rFonts w:ascii="Open Sans" w:hAnsi="Open Sans" w:cs="Open Sans"/>
              </w:rPr>
              <w:t>Yes</w:t>
            </w:r>
          </w:p>
        </w:tc>
      </w:tr>
      <w:tr w:rsidR="00DC7BD0" w:rsidRPr="00116FF5" w14:paraId="58977AB1" w14:textId="77777777" w:rsidTr="00E771B0">
        <w:tc>
          <w:tcPr>
            <w:tcW w:w="1051" w:type="pct"/>
          </w:tcPr>
          <w:p w14:paraId="75574CD7" w14:textId="77777777" w:rsidR="00DC7BD0" w:rsidRPr="00116FF5" w:rsidRDefault="00873C63">
            <w:pPr>
              <w:rPr>
                <w:rFonts w:ascii="Open Sans" w:hAnsi="Open Sans" w:cs="Open Sans"/>
              </w:rPr>
            </w:pPr>
            <w:r w:rsidRPr="00116FF5">
              <w:rPr>
                <w:rFonts w:ascii="Open Sans" w:hAnsi="Open Sans" w:cs="Open Sans"/>
              </w:rPr>
              <w:t>Procon.org</w:t>
            </w:r>
          </w:p>
        </w:tc>
        <w:tc>
          <w:tcPr>
            <w:tcW w:w="746" w:type="pct"/>
          </w:tcPr>
          <w:p w14:paraId="312BD1C3" w14:textId="77777777" w:rsidR="00DC7BD0" w:rsidRPr="00116FF5" w:rsidRDefault="0076074F" w:rsidP="0076074F">
            <w:pPr>
              <w:jc w:val="center"/>
              <w:rPr>
                <w:rFonts w:ascii="Open Sans" w:hAnsi="Open Sans" w:cs="Open Sans"/>
              </w:rPr>
            </w:pPr>
            <w:r w:rsidRPr="00116FF5">
              <w:rPr>
                <w:rFonts w:ascii="Open Sans" w:hAnsi="Open Sans" w:cs="Open Sans"/>
              </w:rPr>
              <w:t>No</w:t>
            </w:r>
          </w:p>
        </w:tc>
        <w:tc>
          <w:tcPr>
            <w:tcW w:w="746" w:type="pct"/>
          </w:tcPr>
          <w:p w14:paraId="791AF0D7" w14:textId="77777777" w:rsidR="00DC7BD0" w:rsidRPr="00116FF5" w:rsidRDefault="0076074F" w:rsidP="0076074F">
            <w:pPr>
              <w:jc w:val="center"/>
              <w:rPr>
                <w:rFonts w:ascii="Open Sans" w:hAnsi="Open Sans" w:cs="Open Sans"/>
              </w:rPr>
            </w:pPr>
            <w:r w:rsidRPr="00116FF5">
              <w:rPr>
                <w:rFonts w:ascii="Open Sans" w:hAnsi="Open Sans" w:cs="Open Sans"/>
              </w:rPr>
              <w:t>No</w:t>
            </w:r>
          </w:p>
        </w:tc>
        <w:tc>
          <w:tcPr>
            <w:tcW w:w="746" w:type="pct"/>
          </w:tcPr>
          <w:p w14:paraId="1996617E" w14:textId="77777777" w:rsidR="00DC7BD0" w:rsidRPr="00116FF5" w:rsidRDefault="0076074F" w:rsidP="0076074F">
            <w:pPr>
              <w:jc w:val="center"/>
              <w:rPr>
                <w:rFonts w:ascii="Open Sans" w:hAnsi="Open Sans" w:cs="Open Sans"/>
              </w:rPr>
            </w:pPr>
            <w:r w:rsidRPr="00116FF5">
              <w:rPr>
                <w:rFonts w:ascii="Open Sans" w:hAnsi="Open Sans" w:cs="Open Sans"/>
              </w:rPr>
              <w:t>No</w:t>
            </w:r>
          </w:p>
        </w:tc>
        <w:tc>
          <w:tcPr>
            <w:tcW w:w="746" w:type="pct"/>
          </w:tcPr>
          <w:p w14:paraId="3926DC24" w14:textId="77777777" w:rsidR="00DC7BD0" w:rsidRPr="00116FF5" w:rsidRDefault="0076074F" w:rsidP="0076074F">
            <w:pPr>
              <w:jc w:val="center"/>
              <w:rPr>
                <w:rFonts w:ascii="Open Sans" w:hAnsi="Open Sans" w:cs="Open Sans"/>
              </w:rPr>
            </w:pPr>
            <w:r w:rsidRPr="00116FF5">
              <w:rPr>
                <w:rFonts w:ascii="Open Sans" w:hAnsi="Open Sans" w:cs="Open Sans"/>
              </w:rPr>
              <w:t>No</w:t>
            </w:r>
          </w:p>
        </w:tc>
        <w:tc>
          <w:tcPr>
            <w:tcW w:w="965" w:type="pct"/>
          </w:tcPr>
          <w:p w14:paraId="22D821DA" w14:textId="77777777" w:rsidR="00DC7BD0" w:rsidRPr="00116FF5" w:rsidRDefault="0076074F" w:rsidP="0076074F">
            <w:pPr>
              <w:jc w:val="center"/>
              <w:rPr>
                <w:rFonts w:ascii="Open Sans" w:hAnsi="Open Sans" w:cs="Open Sans"/>
              </w:rPr>
            </w:pPr>
            <w:r w:rsidRPr="00116FF5">
              <w:rPr>
                <w:rFonts w:ascii="Open Sans" w:hAnsi="Open Sans" w:cs="Open Sans"/>
              </w:rPr>
              <w:t>No</w:t>
            </w:r>
          </w:p>
        </w:tc>
      </w:tr>
      <w:tr w:rsidR="00DC7BD0" w:rsidRPr="00116FF5" w14:paraId="18FE6CAF" w14:textId="77777777" w:rsidTr="00E771B0">
        <w:tc>
          <w:tcPr>
            <w:tcW w:w="1051" w:type="pct"/>
          </w:tcPr>
          <w:p w14:paraId="464AB19E" w14:textId="77777777" w:rsidR="00DC7BD0" w:rsidRPr="00116FF5" w:rsidRDefault="00873C63">
            <w:pPr>
              <w:rPr>
                <w:rFonts w:ascii="Open Sans" w:hAnsi="Open Sans" w:cs="Open Sans"/>
              </w:rPr>
            </w:pPr>
            <w:r w:rsidRPr="00116FF5">
              <w:rPr>
                <w:rFonts w:ascii="Open Sans" w:hAnsi="Open Sans" w:cs="Open Sans"/>
              </w:rPr>
              <w:t>History.com/topics</w:t>
            </w:r>
          </w:p>
        </w:tc>
        <w:tc>
          <w:tcPr>
            <w:tcW w:w="746" w:type="pct"/>
          </w:tcPr>
          <w:p w14:paraId="3A8CC1A8" w14:textId="77777777" w:rsidR="00DC7BD0" w:rsidRPr="00116FF5" w:rsidRDefault="00E771B0" w:rsidP="00E771B0">
            <w:pPr>
              <w:tabs>
                <w:tab w:val="center" w:pos="607"/>
                <w:tab w:val="left" w:pos="1185"/>
              </w:tabs>
              <w:rPr>
                <w:rFonts w:ascii="Open Sans" w:hAnsi="Open Sans" w:cs="Open Sans"/>
              </w:rPr>
            </w:pPr>
            <w:r>
              <w:rPr>
                <w:rFonts w:ascii="Open Sans" w:hAnsi="Open Sans" w:cs="Open Sans"/>
              </w:rPr>
              <w:tab/>
            </w:r>
            <w:r w:rsidR="0076074F" w:rsidRPr="00116FF5">
              <w:rPr>
                <w:rFonts w:ascii="Open Sans" w:hAnsi="Open Sans" w:cs="Open Sans"/>
              </w:rPr>
              <w:t>No</w:t>
            </w:r>
            <w:r>
              <w:rPr>
                <w:rFonts w:ascii="Open Sans" w:hAnsi="Open Sans" w:cs="Open Sans"/>
              </w:rPr>
              <w:tab/>
            </w:r>
          </w:p>
        </w:tc>
        <w:tc>
          <w:tcPr>
            <w:tcW w:w="746" w:type="pct"/>
          </w:tcPr>
          <w:p w14:paraId="44EE19E8" w14:textId="77777777" w:rsidR="00DC7BD0" w:rsidRPr="00116FF5" w:rsidRDefault="0076074F" w:rsidP="0076074F">
            <w:pPr>
              <w:jc w:val="center"/>
              <w:rPr>
                <w:rFonts w:ascii="Open Sans" w:hAnsi="Open Sans" w:cs="Open Sans"/>
              </w:rPr>
            </w:pPr>
            <w:r w:rsidRPr="00116FF5">
              <w:rPr>
                <w:rFonts w:ascii="Open Sans" w:hAnsi="Open Sans" w:cs="Open Sans"/>
              </w:rPr>
              <w:t>No</w:t>
            </w:r>
          </w:p>
        </w:tc>
        <w:tc>
          <w:tcPr>
            <w:tcW w:w="746" w:type="pct"/>
          </w:tcPr>
          <w:p w14:paraId="7D64A4E1" w14:textId="77777777" w:rsidR="00DC7BD0" w:rsidRPr="00116FF5" w:rsidRDefault="0076074F" w:rsidP="0076074F">
            <w:pPr>
              <w:jc w:val="center"/>
              <w:rPr>
                <w:rFonts w:ascii="Open Sans" w:hAnsi="Open Sans" w:cs="Open Sans"/>
              </w:rPr>
            </w:pPr>
            <w:r w:rsidRPr="00116FF5">
              <w:rPr>
                <w:rFonts w:ascii="Open Sans" w:hAnsi="Open Sans" w:cs="Open Sans"/>
              </w:rPr>
              <w:t>No</w:t>
            </w:r>
          </w:p>
        </w:tc>
        <w:tc>
          <w:tcPr>
            <w:tcW w:w="746" w:type="pct"/>
          </w:tcPr>
          <w:p w14:paraId="19165682" w14:textId="77777777" w:rsidR="00DC7BD0" w:rsidRPr="00116FF5" w:rsidRDefault="0076074F" w:rsidP="0076074F">
            <w:pPr>
              <w:jc w:val="center"/>
              <w:rPr>
                <w:rFonts w:ascii="Open Sans" w:hAnsi="Open Sans" w:cs="Open Sans"/>
              </w:rPr>
            </w:pPr>
            <w:r w:rsidRPr="00116FF5">
              <w:rPr>
                <w:rFonts w:ascii="Open Sans" w:hAnsi="Open Sans" w:cs="Open Sans"/>
              </w:rPr>
              <w:t>No</w:t>
            </w:r>
          </w:p>
        </w:tc>
        <w:tc>
          <w:tcPr>
            <w:tcW w:w="965" w:type="pct"/>
          </w:tcPr>
          <w:p w14:paraId="09017BFE" w14:textId="77777777" w:rsidR="00DC7BD0" w:rsidRPr="00116FF5" w:rsidRDefault="0076074F" w:rsidP="0076074F">
            <w:pPr>
              <w:jc w:val="center"/>
              <w:rPr>
                <w:rFonts w:ascii="Open Sans" w:hAnsi="Open Sans" w:cs="Open Sans"/>
              </w:rPr>
            </w:pPr>
            <w:r w:rsidRPr="00116FF5">
              <w:rPr>
                <w:rFonts w:ascii="Open Sans" w:hAnsi="Open Sans" w:cs="Open Sans"/>
              </w:rPr>
              <w:t>No</w:t>
            </w:r>
          </w:p>
        </w:tc>
      </w:tr>
      <w:tr w:rsidR="00DC7BD0" w:rsidRPr="00116FF5" w14:paraId="4C432062" w14:textId="77777777" w:rsidTr="00E771B0">
        <w:tc>
          <w:tcPr>
            <w:tcW w:w="1051" w:type="pct"/>
          </w:tcPr>
          <w:p w14:paraId="739C2BE5" w14:textId="77777777" w:rsidR="00DC7BD0" w:rsidRPr="00116FF5" w:rsidRDefault="00873C63">
            <w:pPr>
              <w:rPr>
                <w:rFonts w:ascii="Open Sans" w:hAnsi="Open Sans" w:cs="Open Sans"/>
              </w:rPr>
            </w:pPr>
            <w:r w:rsidRPr="00116FF5">
              <w:rPr>
                <w:rFonts w:ascii="Open Sans" w:hAnsi="Open Sans" w:cs="Open Sans"/>
              </w:rPr>
              <w:t>Sciencenewsforstudents.org</w:t>
            </w:r>
          </w:p>
        </w:tc>
        <w:tc>
          <w:tcPr>
            <w:tcW w:w="746" w:type="pct"/>
          </w:tcPr>
          <w:p w14:paraId="494CE47B" w14:textId="77777777" w:rsidR="00DC7BD0" w:rsidRPr="00116FF5" w:rsidRDefault="0076074F" w:rsidP="0076074F">
            <w:pPr>
              <w:jc w:val="center"/>
              <w:rPr>
                <w:rFonts w:ascii="Open Sans" w:hAnsi="Open Sans" w:cs="Open Sans"/>
              </w:rPr>
            </w:pPr>
            <w:r w:rsidRPr="00116FF5">
              <w:rPr>
                <w:rFonts w:ascii="Open Sans" w:hAnsi="Open Sans" w:cs="Open Sans"/>
              </w:rPr>
              <w:t>No</w:t>
            </w:r>
          </w:p>
        </w:tc>
        <w:tc>
          <w:tcPr>
            <w:tcW w:w="746" w:type="pct"/>
          </w:tcPr>
          <w:p w14:paraId="25E618EE" w14:textId="77777777" w:rsidR="00DC7BD0" w:rsidRPr="00116FF5" w:rsidRDefault="0076074F" w:rsidP="0076074F">
            <w:pPr>
              <w:jc w:val="center"/>
              <w:rPr>
                <w:rFonts w:ascii="Open Sans" w:hAnsi="Open Sans" w:cs="Open Sans"/>
              </w:rPr>
            </w:pPr>
            <w:r w:rsidRPr="00116FF5">
              <w:rPr>
                <w:rFonts w:ascii="Open Sans" w:hAnsi="Open Sans" w:cs="Open Sans"/>
              </w:rPr>
              <w:t>No</w:t>
            </w:r>
          </w:p>
        </w:tc>
        <w:tc>
          <w:tcPr>
            <w:tcW w:w="746" w:type="pct"/>
          </w:tcPr>
          <w:p w14:paraId="07571890" w14:textId="77777777" w:rsidR="00DC7BD0" w:rsidRPr="00116FF5" w:rsidRDefault="0076074F" w:rsidP="0076074F">
            <w:pPr>
              <w:jc w:val="center"/>
              <w:rPr>
                <w:rFonts w:ascii="Open Sans" w:hAnsi="Open Sans" w:cs="Open Sans"/>
              </w:rPr>
            </w:pPr>
            <w:r w:rsidRPr="00116FF5">
              <w:rPr>
                <w:rFonts w:ascii="Open Sans" w:hAnsi="Open Sans" w:cs="Open Sans"/>
              </w:rPr>
              <w:t>No (6-9)</w:t>
            </w:r>
          </w:p>
        </w:tc>
        <w:tc>
          <w:tcPr>
            <w:tcW w:w="746" w:type="pct"/>
          </w:tcPr>
          <w:p w14:paraId="33560556" w14:textId="77777777" w:rsidR="00DC7BD0" w:rsidRPr="00116FF5" w:rsidRDefault="0076074F" w:rsidP="0076074F">
            <w:pPr>
              <w:jc w:val="center"/>
              <w:rPr>
                <w:rFonts w:ascii="Open Sans" w:hAnsi="Open Sans" w:cs="Open Sans"/>
              </w:rPr>
            </w:pPr>
            <w:r w:rsidRPr="00116FF5">
              <w:rPr>
                <w:rFonts w:ascii="Open Sans" w:hAnsi="Open Sans" w:cs="Open Sans"/>
              </w:rPr>
              <w:t>No</w:t>
            </w:r>
          </w:p>
        </w:tc>
        <w:tc>
          <w:tcPr>
            <w:tcW w:w="965" w:type="pct"/>
          </w:tcPr>
          <w:p w14:paraId="0617707D" w14:textId="77777777" w:rsidR="00DC7BD0" w:rsidRPr="00116FF5" w:rsidRDefault="0076074F" w:rsidP="0076074F">
            <w:pPr>
              <w:jc w:val="center"/>
              <w:rPr>
                <w:rFonts w:ascii="Open Sans" w:hAnsi="Open Sans" w:cs="Open Sans"/>
              </w:rPr>
            </w:pPr>
            <w:r w:rsidRPr="00116FF5">
              <w:rPr>
                <w:rFonts w:ascii="Open Sans" w:hAnsi="Open Sans" w:cs="Open Sans"/>
              </w:rPr>
              <w:t>No</w:t>
            </w:r>
          </w:p>
        </w:tc>
      </w:tr>
    </w:tbl>
    <w:p w14:paraId="463E398D" w14:textId="77777777" w:rsidR="00B1052F" w:rsidRDefault="00B1052F" w:rsidP="00E771B0"/>
    <w:sectPr w:rsidR="00B1052F" w:rsidSect="00E771B0">
      <w:headerReference w:type="default" r:id="rId8"/>
      <w:footerReference w:type="default" r:id="rId9"/>
      <w:headerReference w:type="first" r:id="rId10"/>
      <w:footerReference w:type="first" r:id="rId11"/>
      <w:pgSz w:w="12240" w:h="16340"/>
      <w:pgMar w:top="450" w:right="720" w:bottom="450" w:left="720" w:header="45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AF0E7" w14:textId="77777777" w:rsidR="002E5440" w:rsidRDefault="002E5440" w:rsidP="00116FF5">
      <w:pPr>
        <w:spacing w:after="0" w:line="240" w:lineRule="auto"/>
      </w:pPr>
      <w:r>
        <w:separator/>
      </w:r>
    </w:p>
  </w:endnote>
  <w:endnote w:type="continuationSeparator" w:id="0">
    <w:p w14:paraId="0F9D7117" w14:textId="77777777" w:rsidR="002E5440" w:rsidRDefault="002E5440" w:rsidP="0011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7E278" w14:textId="5275BF7E" w:rsidR="00E771B0" w:rsidRPr="00E771B0" w:rsidRDefault="00E771B0">
    <w:pPr>
      <w:pStyle w:val="Footer"/>
      <w:jc w:val="right"/>
      <w:rPr>
        <w:rFonts w:asciiTheme="minorHAnsi" w:hAnsiTheme="minorHAnsi" w:cstheme="minorHAnsi"/>
        <w:sz w:val="16"/>
      </w:rPr>
    </w:pPr>
    <w:r w:rsidRPr="00E771B0">
      <w:rPr>
        <w:rFonts w:asciiTheme="minorHAnsi" w:hAnsiTheme="minorHAnsi" w:cstheme="minorHAnsi"/>
        <w:sz w:val="16"/>
      </w:rPr>
      <w:t xml:space="preserve">Last Updated: </w:t>
    </w:r>
    <w:r w:rsidR="00AE040E">
      <w:rPr>
        <w:rFonts w:asciiTheme="minorHAnsi" w:hAnsiTheme="minorHAnsi" w:cstheme="minorHAnsi"/>
        <w:sz w:val="16"/>
      </w:rPr>
      <w:t>9/8</w:t>
    </w:r>
    <w:r w:rsidRPr="00E771B0">
      <w:rPr>
        <w:rFonts w:asciiTheme="minorHAnsi" w:hAnsiTheme="minorHAnsi" w:cstheme="minorHAnsi"/>
        <w:sz w:val="16"/>
      </w:rPr>
      <w:t>/2022</w:t>
    </w:r>
    <w:r w:rsidR="008718D6">
      <w:rPr>
        <w:rFonts w:asciiTheme="minorHAnsi" w:hAnsiTheme="minorHAnsi" w:cstheme="minorHAnsi"/>
        <w:sz w:val="16"/>
      </w:rPr>
      <w:t xml:space="preserve"> </w:t>
    </w:r>
    <w:r>
      <w:t xml:space="preserve">                                                                                                                                                                                 </w:t>
    </w:r>
    <w:sdt>
      <w:sdtPr>
        <w:id w:val="1234039033"/>
        <w:docPartObj>
          <w:docPartGallery w:val="Page Numbers (Bottom of Page)"/>
          <w:docPartUnique/>
        </w:docPartObj>
      </w:sdtPr>
      <w:sdtEndPr>
        <w:rPr>
          <w:rFonts w:asciiTheme="minorHAnsi" w:hAnsiTheme="minorHAnsi" w:cstheme="minorHAnsi"/>
          <w:noProof/>
          <w:sz w:val="16"/>
        </w:rPr>
      </w:sdtEndPr>
      <w:sdtContent>
        <w:r w:rsidRPr="00E771B0">
          <w:rPr>
            <w:rFonts w:asciiTheme="minorHAnsi" w:hAnsiTheme="minorHAnsi" w:cstheme="minorHAnsi"/>
            <w:sz w:val="16"/>
          </w:rPr>
          <w:fldChar w:fldCharType="begin"/>
        </w:r>
        <w:r w:rsidRPr="00E771B0">
          <w:rPr>
            <w:rFonts w:asciiTheme="minorHAnsi" w:hAnsiTheme="minorHAnsi" w:cstheme="minorHAnsi"/>
            <w:sz w:val="16"/>
          </w:rPr>
          <w:instrText xml:space="preserve"> PAGE   \* MERGEFORMAT </w:instrText>
        </w:r>
        <w:r w:rsidRPr="00E771B0">
          <w:rPr>
            <w:rFonts w:asciiTheme="minorHAnsi" w:hAnsiTheme="minorHAnsi" w:cstheme="minorHAnsi"/>
            <w:sz w:val="16"/>
          </w:rPr>
          <w:fldChar w:fldCharType="separate"/>
        </w:r>
        <w:r w:rsidR="006400BC">
          <w:rPr>
            <w:rFonts w:asciiTheme="minorHAnsi" w:hAnsiTheme="minorHAnsi" w:cstheme="minorHAnsi"/>
            <w:noProof/>
            <w:sz w:val="16"/>
          </w:rPr>
          <w:t>1</w:t>
        </w:r>
        <w:r w:rsidRPr="00E771B0">
          <w:rPr>
            <w:rFonts w:asciiTheme="minorHAnsi" w:hAnsiTheme="minorHAnsi" w:cstheme="minorHAnsi"/>
            <w:noProof/>
            <w:sz w:val="16"/>
          </w:rPr>
          <w:fldChar w:fldCharType="end"/>
        </w:r>
      </w:sdtContent>
    </w:sdt>
  </w:p>
  <w:p w14:paraId="3607E76B" w14:textId="77777777" w:rsidR="00116FF5" w:rsidRPr="00116FF5" w:rsidRDefault="00116FF5">
    <w:pPr>
      <w:pStyle w:val="Footer"/>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2BC7" w14:textId="77777777" w:rsidR="00E771B0" w:rsidRPr="00E771B0" w:rsidRDefault="00E771B0">
    <w:pPr>
      <w:pStyle w:val="Footer"/>
      <w:jc w:val="right"/>
      <w:rPr>
        <w:rFonts w:asciiTheme="minorHAnsi" w:hAnsiTheme="minorHAnsi" w:cstheme="minorHAnsi"/>
        <w:sz w:val="16"/>
      </w:rPr>
    </w:pPr>
    <w:r w:rsidRPr="00E771B0">
      <w:rPr>
        <w:rFonts w:asciiTheme="minorHAnsi" w:hAnsiTheme="minorHAnsi" w:cstheme="minorHAnsi"/>
        <w:sz w:val="16"/>
      </w:rPr>
      <w:t>Last Updated: 7/7/2022</w:t>
    </w:r>
    <w:r>
      <w:rPr>
        <w:rFonts w:asciiTheme="minorHAnsi" w:hAnsiTheme="minorHAnsi" w:cstheme="minorHAnsi"/>
        <w:sz w:val="16"/>
      </w:rPr>
      <w:t xml:space="preserve">                                                                                                                                                                                                                       </w:t>
    </w:r>
    <w:sdt>
      <w:sdtPr>
        <w:id w:val="-1814936039"/>
        <w:docPartObj>
          <w:docPartGallery w:val="Page Numbers (Bottom of Page)"/>
          <w:docPartUnique/>
        </w:docPartObj>
      </w:sdtPr>
      <w:sdtEndPr>
        <w:rPr>
          <w:rFonts w:asciiTheme="minorHAnsi" w:hAnsiTheme="minorHAnsi" w:cstheme="minorHAnsi"/>
          <w:noProof/>
          <w:sz w:val="16"/>
        </w:rPr>
      </w:sdtEndPr>
      <w:sdtContent>
        <w:r w:rsidRPr="00E771B0">
          <w:rPr>
            <w:rFonts w:asciiTheme="minorHAnsi" w:hAnsiTheme="minorHAnsi" w:cstheme="minorHAnsi"/>
            <w:sz w:val="16"/>
          </w:rPr>
          <w:fldChar w:fldCharType="begin"/>
        </w:r>
        <w:r w:rsidRPr="00E771B0">
          <w:rPr>
            <w:rFonts w:asciiTheme="minorHAnsi" w:hAnsiTheme="minorHAnsi" w:cstheme="minorHAnsi"/>
            <w:sz w:val="16"/>
          </w:rPr>
          <w:instrText xml:space="preserve"> PAGE   \* MERGEFORMAT </w:instrText>
        </w:r>
        <w:r w:rsidRPr="00E771B0">
          <w:rPr>
            <w:rFonts w:asciiTheme="minorHAnsi" w:hAnsiTheme="minorHAnsi" w:cstheme="minorHAnsi"/>
            <w:sz w:val="16"/>
          </w:rPr>
          <w:fldChar w:fldCharType="separate"/>
        </w:r>
        <w:r w:rsidRPr="00E771B0">
          <w:rPr>
            <w:rFonts w:asciiTheme="minorHAnsi" w:hAnsiTheme="minorHAnsi" w:cstheme="minorHAnsi"/>
            <w:noProof/>
            <w:sz w:val="16"/>
          </w:rPr>
          <w:t>2</w:t>
        </w:r>
        <w:r w:rsidRPr="00E771B0">
          <w:rPr>
            <w:rFonts w:asciiTheme="minorHAnsi" w:hAnsiTheme="minorHAnsi" w:cstheme="minorHAnsi"/>
            <w:noProof/>
            <w:sz w:val="16"/>
          </w:rPr>
          <w:fldChar w:fldCharType="end"/>
        </w:r>
      </w:sdtContent>
    </w:sdt>
  </w:p>
  <w:p w14:paraId="4C22498F" w14:textId="77777777" w:rsidR="0067320D" w:rsidRPr="0067320D" w:rsidRDefault="0067320D">
    <w:pPr>
      <w:pStyle w:val="Footer"/>
      <w:rPr>
        <w:rFonts w:asciiTheme="minorHAnsi" w:hAnsiTheme="minorHAnsi" w:cs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999E9" w14:textId="77777777" w:rsidR="002E5440" w:rsidRDefault="002E5440" w:rsidP="00116FF5">
      <w:pPr>
        <w:spacing w:after="0" w:line="240" w:lineRule="auto"/>
      </w:pPr>
      <w:r>
        <w:separator/>
      </w:r>
    </w:p>
  </w:footnote>
  <w:footnote w:type="continuationSeparator" w:id="0">
    <w:p w14:paraId="420317F8" w14:textId="77777777" w:rsidR="002E5440" w:rsidRDefault="002E5440" w:rsidP="00116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61B04" w14:textId="77777777" w:rsidR="00E771B0" w:rsidRPr="00E771B0" w:rsidRDefault="00E771B0">
    <w:pPr>
      <w:pStyle w:val="Header"/>
      <w:rPr>
        <w:rFonts w:asciiTheme="minorHAnsi" w:hAnsiTheme="minorHAnsi" w:cstheme="minorHAnsi"/>
        <w:b/>
        <w:sz w:val="32"/>
      </w:rPr>
    </w:pPr>
    <w:r w:rsidRPr="00E771B0">
      <w:rPr>
        <w:rFonts w:asciiTheme="minorHAnsi" w:hAnsiTheme="minorHAnsi" w:cstheme="minorHAnsi"/>
        <w:b/>
        <w:sz w:val="32"/>
      </w:rPr>
      <w:t>Promoting Volume of Reading to Build Knowledge (ELA Tool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3BB9" w14:textId="77777777" w:rsidR="0067320D" w:rsidRDefault="0067320D" w:rsidP="0067320D">
    <w:pPr>
      <w:pBdr>
        <w:top w:val="nil"/>
        <w:left w:val="nil"/>
        <w:bottom w:val="nil"/>
        <w:right w:val="nil"/>
        <w:between w:val="nil"/>
      </w:pBdr>
      <w:spacing w:after="0" w:line="240" w:lineRule="auto"/>
      <w:rPr>
        <w:rFonts w:ascii="Open Sans" w:hAnsi="Open Sans" w:cs="Open Sans"/>
        <w:b/>
        <w:color w:val="000000"/>
        <w:sz w:val="36"/>
        <w:szCs w:val="23"/>
      </w:rPr>
    </w:pPr>
    <w:r w:rsidRPr="0067320D">
      <w:rPr>
        <w:rFonts w:ascii="Open Sans" w:hAnsi="Open Sans" w:cs="Open Sans"/>
        <w:b/>
        <w:color w:val="000000"/>
        <w:sz w:val="36"/>
        <w:szCs w:val="23"/>
      </w:rPr>
      <w:t xml:space="preserve">Promoting Volume of Reading to Build Knowledge </w:t>
    </w:r>
  </w:p>
  <w:p w14:paraId="42FB1B12" w14:textId="77777777" w:rsidR="0067320D" w:rsidRPr="0067320D" w:rsidRDefault="0067320D" w:rsidP="0067320D">
    <w:pPr>
      <w:pBdr>
        <w:top w:val="nil"/>
        <w:left w:val="nil"/>
        <w:bottom w:val="nil"/>
        <w:right w:val="nil"/>
        <w:between w:val="nil"/>
      </w:pBdr>
      <w:spacing w:after="0" w:line="240" w:lineRule="auto"/>
      <w:rPr>
        <w:rFonts w:ascii="Open Sans" w:hAnsi="Open Sans" w:cs="Open Sans"/>
        <w:b/>
        <w:color w:val="000000"/>
        <w:sz w:val="36"/>
        <w:szCs w:val="23"/>
      </w:rPr>
    </w:pPr>
    <w:r w:rsidRPr="0067320D">
      <w:rPr>
        <w:rFonts w:ascii="Open Sans" w:hAnsi="Open Sans" w:cs="Open Sans"/>
        <w:b/>
        <w:color w:val="000000"/>
        <w:sz w:val="36"/>
        <w:szCs w:val="23"/>
      </w:rPr>
      <w:t>(ELA Tool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26867"/>
    <w:multiLevelType w:val="multilevel"/>
    <w:tmpl w:val="2FBA3F06"/>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FF5D6A"/>
    <w:multiLevelType w:val="multilevel"/>
    <w:tmpl w:val="EDD4A5F8"/>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D0"/>
    <w:rsid w:val="00116FF5"/>
    <w:rsid w:val="00135184"/>
    <w:rsid w:val="002238CE"/>
    <w:rsid w:val="002D707F"/>
    <w:rsid w:val="002E5440"/>
    <w:rsid w:val="0050024C"/>
    <w:rsid w:val="006400BC"/>
    <w:rsid w:val="00665925"/>
    <w:rsid w:val="0067320D"/>
    <w:rsid w:val="0076074F"/>
    <w:rsid w:val="008718D6"/>
    <w:rsid w:val="00873C63"/>
    <w:rsid w:val="009254C5"/>
    <w:rsid w:val="00A53F1F"/>
    <w:rsid w:val="00A71E69"/>
    <w:rsid w:val="00AE040E"/>
    <w:rsid w:val="00B1052F"/>
    <w:rsid w:val="00B4151E"/>
    <w:rsid w:val="00B81B7B"/>
    <w:rsid w:val="00DC7BD0"/>
    <w:rsid w:val="00E7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CA8B5"/>
  <w15:docId w15:val="{E5B2BCA6-B5A4-4BAD-ABCF-04A4B60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074F29"/>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2B4D41"/>
    <w:rPr>
      <w:color w:val="0563C1" w:themeColor="hyperlink"/>
      <w:u w:val="single"/>
    </w:rPr>
  </w:style>
  <w:style w:type="character" w:customStyle="1" w:styleId="UnresolvedMention1">
    <w:name w:val="Unresolved Mention1"/>
    <w:basedOn w:val="DefaultParagraphFont"/>
    <w:uiPriority w:val="99"/>
    <w:semiHidden/>
    <w:unhideWhenUsed/>
    <w:rsid w:val="002B4D41"/>
    <w:rPr>
      <w:color w:val="605E5C"/>
      <w:shd w:val="clear" w:color="auto" w:fill="E1DFDD"/>
    </w:rPr>
  </w:style>
  <w:style w:type="table" w:styleId="TableGrid">
    <w:name w:val="Table Grid"/>
    <w:basedOn w:val="TableNormal"/>
    <w:uiPriority w:val="39"/>
    <w:rsid w:val="0018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1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FF5"/>
  </w:style>
  <w:style w:type="paragraph" w:styleId="Footer">
    <w:name w:val="footer"/>
    <w:basedOn w:val="Normal"/>
    <w:link w:val="FooterChar"/>
    <w:uiPriority w:val="99"/>
    <w:unhideWhenUsed/>
    <w:rsid w:val="0011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FF5"/>
  </w:style>
  <w:style w:type="character" w:styleId="CommentReference">
    <w:name w:val="annotation reference"/>
    <w:basedOn w:val="DefaultParagraphFont"/>
    <w:uiPriority w:val="99"/>
    <w:semiHidden/>
    <w:unhideWhenUsed/>
    <w:rsid w:val="006400BC"/>
    <w:rPr>
      <w:sz w:val="16"/>
      <w:szCs w:val="16"/>
    </w:rPr>
  </w:style>
  <w:style w:type="paragraph" w:styleId="CommentText">
    <w:name w:val="annotation text"/>
    <w:basedOn w:val="Normal"/>
    <w:link w:val="CommentTextChar"/>
    <w:uiPriority w:val="99"/>
    <w:semiHidden/>
    <w:unhideWhenUsed/>
    <w:rsid w:val="006400BC"/>
    <w:pPr>
      <w:spacing w:line="240" w:lineRule="auto"/>
    </w:pPr>
    <w:rPr>
      <w:sz w:val="20"/>
      <w:szCs w:val="20"/>
    </w:rPr>
  </w:style>
  <w:style w:type="character" w:customStyle="1" w:styleId="CommentTextChar">
    <w:name w:val="Comment Text Char"/>
    <w:basedOn w:val="DefaultParagraphFont"/>
    <w:link w:val="CommentText"/>
    <w:uiPriority w:val="99"/>
    <w:semiHidden/>
    <w:rsid w:val="006400BC"/>
    <w:rPr>
      <w:sz w:val="20"/>
      <w:szCs w:val="20"/>
    </w:rPr>
  </w:style>
  <w:style w:type="paragraph" w:styleId="CommentSubject">
    <w:name w:val="annotation subject"/>
    <w:basedOn w:val="CommentText"/>
    <w:next w:val="CommentText"/>
    <w:link w:val="CommentSubjectChar"/>
    <w:uiPriority w:val="99"/>
    <w:semiHidden/>
    <w:unhideWhenUsed/>
    <w:rsid w:val="006400BC"/>
    <w:rPr>
      <w:b/>
      <w:bCs/>
    </w:rPr>
  </w:style>
  <w:style w:type="character" w:customStyle="1" w:styleId="CommentSubjectChar">
    <w:name w:val="Comment Subject Char"/>
    <w:basedOn w:val="CommentTextChar"/>
    <w:link w:val="CommentSubject"/>
    <w:uiPriority w:val="99"/>
    <w:semiHidden/>
    <w:rsid w:val="006400BC"/>
    <w:rPr>
      <w:b/>
      <w:bCs/>
      <w:sz w:val="20"/>
      <w:szCs w:val="20"/>
    </w:rPr>
  </w:style>
  <w:style w:type="paragraph" w:styleId="BalloonText">
    <w:name w:val="Balloon Text"/>
    <w:basedOn w:val="Normal"/>
    <w:link w:val="BalloonTextChar"/>
    <w:uiPriority w:val="99"/>
    <w:semiHidden/>
    <w:unhideWhenUsed/>
    <w:rsid w:val="00640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ch Team">
  <a:themeElements>
    <a:clrScheme name="PDS Logo Colors">
      <a:dk1>
        <a:sysClr val="windowText" lastClr="000000"/>
      </a:dk1>
      <a:lt1>
        <a:sysClr val="window" lastClr="FFFFFF"/>
      </a:lt1>
      <a:dk2>
        <a:srgbClr val="44546A"/>
      </a:dk2>
      <a:lt2>
        <a:srgbClr val="E7E6E6"/>
      </a:lt2>
      <a:accent1>
        <a:srgbClr val="004E89"/>
      </a:accent1>
      <a:accent2>
        <a:srgbClr val="F75A22"/>
      </a:accent2>
      <a:accent3>
        <a:srgbClr val="39B54A"/>
      </a:accent3>
      <a:accent4>
        <a:srgbClr val="F7CB1A"/>
      </a:accent4>
      <a:accent5>
        <a:srgbClr val="602D91"/>
      </a:accent5>
      <a:accent6>
        <a:srgbClr val="BFBFBF"/>
      </a:accent6>
      <a:hlink>
        <a:srgbClr val="0563C1"/>
      </a:hlink>
      <a:folHlink>
        <a:srgbClr val="954F72"/>
      </a:folHlink>
    </a:clrScheme>
    <a:fontScheme name="PDS Open Sans">
      <a:majorFont>
        <a:latin typeface="Open Sans"/>
        <a:ea typeface=""/>
        <a:cs typeface=""/>
      </a:majorFont>
      <a:minorFont>
        <a:latin typeface="Open Sans"/>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ch Team" id="{6F2234CC-346A-492B-8852-21BD0ACFBE0C}" vid="{58C3A938-9354-44D5-AFA1-6C27EAE314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ebT6YTVED+obUX/dxjeCxgv0Uw==">AMUW2mW2nlrzS09DGx+hDrfZvyvzBVHkNvvC9ch4OdOvLdA3QynGACAnKkCBJpQ6lXq9c7uwqyra+XuObMu3ZtpuxpEvjDhtMvXwj6vl7XF9Ct9axbjXaDY=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Baron</dc:creator>
  <cp:lastModifiedBy>Matt Manfred</cp:lastModifiedBy>
  <cp:revision>2</cp:revision>
  <dcterms:created xsi:type="dcterms:W3CDTF">2022-09-08T14:47:00Z</dcterms:created>
  <dcterms:modified xsi:type="dcterms:W3CDTF">2022-09-08T14:47:00Z</dcterms:modified>
</cp:coreProperties>
</file>